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Times New Roman" w:hAnsi="Times New Roman" w:eastAsia="仿宋_GB2312" w:cs="Times New Roman"/>
          <w:sz w:val="32"/>
          <w:szCs w:val="32"/>
        </w:rPr>
      </w:pPr>
    </w:p>
    <w:p>
      <w:pPr>
        <w:snapToGrid w:val="0"/>
        <w:spacing w:line="300" w:lineRule="auto"/>
        <w:jc w:val="center"/>
        <w:rPr>
          <w:rFonts w:ascii="Times New Roman" w:hAnsi="Times New Roman" w:eastAsia="华文中宋" w:cs="Times New Roman"/>
          <w:b/>
          <w:color w:val="000000"/>
          <w:sz w:val="44"/>
          <w:szCs w:val="44"/>
        </w:rPr>
      </w:pPr>
      <w:bookmarkStart w:id="0" w:name="_GoBack"/>
      <w:r>
        <w:rPr>
          <w:rFonts w:ascii="Times New Roman" w:hAnsi="Times New Roman" w:eastAsia="华文中宋" w:cs="Times New Roman"/>
          <w:b/>
          <w:color w:val="000000"/>
          <w:sz w:val="44"/>
          <w:szCs w:val="44"/>
        </w:rPr>
        <w:t>2020年度国家成都农业科技中心财政</w:t>
      </w:r>
    </w:p>
    <w:p>
      <w:pPr>
        <w:snapToGrid w:val="0"/>
        <w:spacing w:line="300" w:lineRule="auto"/>
        <w:jc w:val="center"/>
        <w:rPr>
          <w:rFonts w:ascii="Times New Roman" w:hAnsi="Times New Roman" w:eastAsia="华文中宋" w:cs="Times New Roman"/>
          <w:b/>
          <w:color w:val="000000"/>
          <w:sz w:val="44"/>
          <w:szCs w:val="44"/>
        </w:rPr>
      </w:pPr>
      <w:r>
        <w:rPr>
          <w:rFonts w:ascii="Times New Roman" w:hAnsi="Times New Roman" w:eastAsia="华文中宋" w:cs="Times New Roman"/>
          <w:b/>
          <w:color w:val="000000"/>
          <w:sz w:val="44"/>
          <w:szCs w:val="44"/>
        </w:rPr>
        <w:t>科研项目申报指南</w:t>
      </w:r>
    </w:p>
    <w:bookmarkEnd w:id="0"/>
    <w:p>
      <w:pPr>
        <w:snapToGrid w:val="0"/>
        <w:spacing w:line="360" w:lineRule="auto"/>
        <w:ind w:firstLine="640" w:firstLineChars="200"/>
        <w:rPr>
          <w:rFonts w:ascii="Times New Roman" w:hAnsi="Times New Roman" w:eastAsia="仿宋_GB2312" w:cs="Times New Roman"/>
          <w:sz w:val="32"/>
        </w:rPr>
      </w:pPr>
    </w:p>
    <w:p>
      <w:pPr>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rPr>
        <w:t>为</w:t>
      </w:r>
      <w:r>
        <w:rPr>
          <w:rFonts w:hint="eastAsia" w:ascii="Times New Roman" w:hAnsi="Times New Roman" w:eastAsia="仿宋_GB2312" w:cs="Times New Roman"/>
          <w:sz w:val="32"/>
        </w:rPr>
        <w:t>深入</w:t>
      </w:r>
      <w:r>
        <w:rPr>
          <w:rFonts w:ascii="Times New Roman" w:hAnsi="Times New Roman" w:eastAsia="仿宋_GB2312" w:cs="Times New Roman"/>
          <w:sz w:val="32"/>
        </w:rPr>
        <w:t>贯彻落实</w:t>
      </w:r>
      <w:r>
        <w:rPr>
          <w:rFonts w:hint="eastAsia" w:ascii="Times New Roman" w:hAnsi="Times New Roman" w:eastAsia="仿宋_GB2312" w:cs="Times New Roman"/>
          <w:sz w:val="32"/>
        </w:rPr>
        <w:t>习近平总书记关于加快科技创新</w:t>
      </w:r>
      <w:r>
        <w:rPr>
          <w:rFonts w:ascii="Times New Roman" w:hAnsi="Times New Roman" w:eastAsia="仿宋_GB2312" w:cs="Times New Roman"/>
          <w:sz w:val="32"/>
        </w:rPr>
        <w:t>“</w:t>
      </w:r>
      <w:r>
        <w:rPr>
          <w:rFonts w:hint="eastAsia" w:ascii="Times New Roman" w:hAnsi="Times New Roman" w:eastAsia="仿宋_GB2312" w:cs="Times New Roman"/>
          <w:sz w:val="32"/>
        </w:rPr>
        <w:t>四</w:t>
      </w:r>
      <w:r>
        <w:rPr>
          <w:rFonts w:ascii="Times New Roman" w:hAnsi="Times New Roman" w:eastAsia="仿宋_GB2312" w:cs="Times New Roman"/>
          <w:sz w:val="32"/>
        </w:rPr>
        <w:t>个面向”和</w:t>
      </w:r>
      <w:r>
        <w:rPr>
          <w:rFonts w:hint="eastAsia" w:ascii="Times New Roman" w:hAnsi="Times New Roman" w:eastAsia="仿宋_GB2312" w:cs="Times New Roman"/>
          <w:sz w:val="32"/>
        </w:rPr>
        <w:t>四川省</w:t>
      </w:r>
      <w:r>
        <w:rPr>
          <w:rFonts w:ascii="Times New Roman" w:hAnsi="Times New Roman" w:eastAsia="仿宋_GB2312" w:cs="Times New Roman"/>
          <w:sz w:val="32"/>
        </w:rPr>
        <w:t>“</w:t>
      </w:r>
      <w:r>
        <w:rPr>
          <w:rFonts w:hint="eastAsia" w:ascii="Times New Roman" w:hAnsi="Times New Roman" w:eastAsia="仿宋_GB2312" w:cs="Times New Roman"/>
          <w:sz w:val="32"/>
        </w:rPr>
        <w:t>三农</w:t>
      </w:r>
      <w:r>
        <w:rPr>
          <w:rFonts w:ascii="Times New Roman" w:hAnsi="Times New Roman" w:eastAsia="仿宋_GB2312" w:cs="Times New Roman"/>
          <w:sz w:val="32"/>
        </w:rPr>
        <w:t>”</w:t>
      </w:r>
      <w:r>
        <w:rPr>
          <w:rFonts w:hint="eastAsia" w:ascii="Times New Roman" w:hAnsi="Times New Roman" w:eastAsia="仿宋_GB2312" w:cs="Times New Roman"/>
          <w:sz w:val="32"/>
        </w:rPr>
        <w:t>工作系列重要指示精神，加快国家成都农业科技中心建设</w:t>
      </w:r>
      <w:r>
        <w:rPr>
          <w:rFonts w:ascii="Times New Roman" w:hAnsi="Times New Roman" w:eastAsia="仿宋_GB2312" w:cs="Times New Roman"/>
          <w:sz w:val="32"/>
        </w:rPr>
        <w:t>步伐</w:t>
      </w:r>
      <w:r>
        <w:rPr>
          <w:rFonts w:hint="eastAsia" w:ascii="Times New Roman" w:hAnsi="Times New Roman" w:eastAsia="仿宋_GB2312" w:cs="Times New Roman"/>
          <w:sz w:val="32"/>
        </w:rPr>
        <w:t>，</w:t>
      </w:r>
      <w:r>
        <w:rPr>
          <w:rFonts w:ascii="Times New Roman" w:hAnsi="Times New Roman" w:eastAsia="仿宋_GB2312" w:cs="Times New Roman"/>
          <w:sz w:val="32"/>
        </w:rPr>
        <w:t>助力四川由农业大省向农业强省转变，主动服务好成渝地区双城经济圈发展大局，以成都市现代农业产业功能区重大科技需求为导向，聚焦区域规划亟待升级、产品科技含量和附加值低、前瞻性核心技术储备不够等问题</w:t>
      </w:r>
      <w:r>
        <w:rPr>
          <w:rFonts w:hint="eastAsia" w:ascii="Times New Roman" w:hAnsi="Times New Roman" w:eastAsia="仿宋_GB2312" w:cs="Times New Roman"/>
          <w:sz w:val="32"/>
        </w:rPr>
        <w:t>，</w:t>
      </w:r>
      <w:r>
        <w:rPr>
          <w:rFonts w:ascii="Times New Roman" w:hAnsi="Times New Roman" w:eastAsia="仿宋_GB2312" w:cs="Times New Roman"/>
          <w:sz w:val="32"/>
          <w:szCs w:val="32"/>
        </w:rPr>
        <w:t>突破一批制约功能区发展的瓶颈技术、“天花板”技术，补齐建强产业链条，提高产品科技含量和附加值，促进农业产业功能区提档升级，支撑引领我市现代农业产业功能区高质量发展，培育一批服务区域产业发展的高层次科研团队，助力本地农业产业化重点龙头企业开展关键核心技术攻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年度国家成都农业科技中心财政科研项目主要</w:t>
      </w:r>
      <w:r>
        <w:rPr>
          <w:rFonts w:ascii="Times New Roman" w:hAnsi="Times New Roman" w:eastAsia="仿宋_GB2312" w:cs="Times New Roman"/>
          <w:sz w:val="32"/>
          <w:szCs w:val="32"/>
        </w:rPr>
        <w:t>支持</w:t>
      </w:r>
      <w:r>
        <w:rPr>
          <w:rFonts w:hint="eastAsia" w:ascii="Times New Roman" w:hAnsi="Times New Roman" w:eastAsia="仿宋_GB2312" w:cs="Times New Roman"/>
          <w:sz w:val="32"/>
          <w:szCs w:val="32"/>
        </w:rPr>
        <w:t>宏观政策研究、科研平台建设、重点研发支撑、成果转化引导等四类项目</w:t>
      </w:r>
      <w:r>
        <w:rPr>
          <w:rFonts w:ascii="Times New Roman" w:hAnsi="Times New Roman" w:eastAsia="仿宋_GB2312" w:cs="Times New Roman"/>
          <w:sz w:val="32"/>
          <w:szCs w:val="32"/>
        </w:rPr>
        <w:t>。</w:t>
      </w:r>
    </w:p>
    <w:p>
      <w:pPr>
        <w:snapToGrid w:val="0"/>
        <w:spacing w:line="360" w:lineRule="auto"/>
        <w:ind w:left="601"/>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一</w:t>
      </w:r>
      <w:r>
        <w:rPr>
          <w:rFonts w:ascii="Times New Roman" w:hAnsi="Times New Roman" w:eastAsia="黑体" w:cs="Times New Roman"/>
          <w:color w:val="000000"/>
          <w:sz w:val="32"/>
          <w:szCs w:val="32"/>
        </w:rPr>
        <w:t>、项目类别</w:t>
      </w:r>
      <w:r>
        <w:rPr>
          <w:rFonts w:hint="eastAsia" w:ascii="Times New Roman" w:hAnsi="Times New Roman" w:eastAsia="黑体" w:cs="Times New Roman"/>
          <w:color w:val="000000"/>
          <w:sz w:val="32"/>
          <w:szCs w:val="32"/>
        </w:rPr>
        <w:t>及</w:t>
      </w:r>
      <w:r>
        <w:rPr>
          <w:rFonts w:ascii="Times New Roman" w:hAnsi="Times New Roman" w:eastAsia="黑体" w:cs="Times New Roman"/>
          <w:color w:val="000000"/>
          <w:sz w:val="32"/>
          <w:szCs w:val="32"/>
        </w:rPr>
        <w:t>内容</w:t>
      </w:r>
    </w:p>
    <w:p>
      <w:pPr>
        <w:snapToGrid w:val="0"/>
        <w:spacing w:line="360" w:lineRule="auto"/>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（一）宏观政策研究</w:t>
      </w:r>
    </w:p>
    <w:p>
      <w:pPr>
        <w:snapToGrid w:val="0"/>
        <w:spacing w:line="360" w:lineRule="auto"/>
        <w:ind w:firstLine="643" w:firstLineChars="200"/>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1.探索成渝双城经济圈背景下成都市农业产业功能区科技发展新思路</w:t>
      </w:r>
    </w:p>
    <w:p>
      <w:pPr>
        <w:snapToGrid w:val="0"/>
        <w:spacing w:line="360" w:lineRule="auto"/>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研究内容：</w:t>
      </w:r>
      <w:r>
        <w:rPr>
          <w:rFonts w:ascii="Times New Roman" w:hAnsi="Times New Roman" w:eastAsia="仿宋_GB2312" w:cs="Times New Roman"/>
          <w:color w:val="000000"/>
          <w:sz w:val="32"/>
          <w:szCs w:val="32"/>
        </w:rPr>
        <w:t>围绕成都产业功能区发展面临的科技成果转化应用困难现实问题，立足成渝双城经济圈发展需求，深入调研功能区科技发展情况，分析科技转化应用瓶颈，系统探究制约影响原因，采取实地调研与文献梳理的方法，探索功能区科技发展新路径。</w:t>
      </w:r>
    </w:p>
    <w:p>
      <w:pPr>
        <w:snapToGrid w:val="0"/>
        <w:spacing w:line="360" w:lineRule="auto"/>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考核指标：</w:t>
      </w:r>
      <w:r>
        <w:rPr>
          <w:rFonts w:ascii="Times New Roman" w:hAnsi="Times New Roman" w:eastAsia="仿宋_GB2312" w:cs="Times New Roman"/>
          <w:color w:val="000000"/>
          <w:sz w:val="32"/>
          <w:szCs w:val="32"/>
        </w:rPr>
        <w:t>成都市农业产业功能区科技需求调研报告1份；成都市农业产业功能区科技发展思路研究报告1份；发表论文1篇。</w:t>
      </w:r>
    </w:p>
    <w:p>
      <w:pPr>
        <w:snapToGrid w:val="0"/>
        <w:spacing w:line="360" w:lineRule="auto"/>
        <w:ind w:firstLine="643" w:firstLineChars="200"/>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2.成都农业科技服务体系发展研究</w:t>
      </w:r>
    </w:p>
    <w:p>
      <w:pPr>
        <w:snapToGrid w:val="0"/>
        <w:spacing w:line="360" w:lineRule="auto"/>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研究内容：</w:t>
      </w:r>
      <w:r>
        <w:rPr>
          <w:rFonts w:ascii="Times New Roman" w:hAnsi="Times New Roman" w:eastAsia="仿宋_GB2312" w:cs="Times New Roman"/>
          <w:sz w:val="32"/>
          <w:szCs w:val="32"/>
        </w:rPr>
        <w:t>按照成都市委市政府提出的中长期都市现代农业发展战略，用现代科技支撑农业产业功能区创新发展，优化都市现代农业科技供给，研究如何建设和完善一批特色农业农村科技服务机构，如何建设和完善成都市新型“三农”科技服务体系，特别是社会化服务体系。</w:t>
      </w:r>
    </w:p>
    <w:p>
      <w:pPr>
        <w:snapToGrid w:val="0"/>
        <w:spacing w:line="360" w:lineRule="auto"/>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考核指标：</w:t>
      </w:r>
      <w:r>
        <w:rPr>
          <w:rFonts w:ascii="Times New Roman" w:hAnsi="Times New Roman" w:eastAsia="仿宋_GB2312" w:cs="Times New Roman"/>
          <w:sz w:val="32"/>
          <w:szCs w:val="32"/>
        </w:rPr>
        <w:t>搭建成都市新型“三农”科技服务体系1套；社会化服务体系发展规划或指导意见1份。</w:t>
      </w:r>
    </w:p>
    <w:p>
      <w:pPr>
        <w:snapToGrid w:val="0"/>
        <w:spacing w:line="360" w:lineRule="auto"/>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（二）科研平台建设</w:t>
      </w:r>
    </w:p>
    <w:p>
      <w:pPr>
        <w:snapToGrid w:val="0"/>
        <w:spacing w:line="360" w:lineRule="auto"/>
        <w:ind w:firstLine="643" w:firstLineChars="200"/>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3.农副产品第三方检测平台建设</w:t>
      </w:r>
    </w:p>
    <w:p>
      <w:pPr>
        <w:snapToGrid w:val="0"/>
        <w:spacing w:line="360" w:lineRule="auto"/>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研究内容：</w:t>
      </w:r>
      <w:r>
        <w:rPr>
          <w:rFonts w:ascii="Times New Roman" w:hAnsi="Times New Roman" w:eastAsia="仿宋_GB2312" w:cs="Times New Roman"/>
          <w:color w:val="000000"/>
          <w:sz w:val="32"/>
          <w:szCs w:val="32"/>
        </w:rPr>
        <w:t>与企业共同开展农副产品第三方检测平台的硬件、软件设施建设。面向产业发展需求，提供农副产品营养成分、营养标签、微生物、农药残留、兽药残留、食品添加剂及非法添加物、重金属等各类常规指标及有毒有害物质的检测服务。</w:t>
      </w:r>
    </w:p>
    <w:p>
      <w:pPr>
        <w:snapToGrid w:val="0"/>
        <w:spacing w:line="360" w:lineRule="auto"/>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考核指标：</w:t>
      </w:r>
      <w:r>
        <w:rPr>
          <w:rFonts w:ascii="Times New Roman" w:hAnsi="Times New Roman" w:eastAsia="仿宋_GB2312" w:cs="Times New Roman"/>
          <w:color w:val="000000"/>
          <w:sz w:val="32"/>
          <w:szCs w:val="32"/>
        </w:rPr>
        <w:t>搭建农副产品第三方检测平台1个；组建检测平台的管理团队1个；建立农副产品检测官方网站1个；建立检测平台网上预约系统1个。</w:t>
      </w:r>
    </w:p>
    <w:p>
      <w:pPr>
        <w:snapToGrid w:val="0"/>
        <w:spacing w:line="360" w:lineRule="auto"/>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（三）重点研发支撑</w:t>
      </w:r>
    </w:p>
    <w:p>
      <w:pPr>
        <w:snapToGrid w:val="0"/>
        <w:spacing w:line="360" w:lineRule="auto"/>
        <w:ind w:firstLine="643" w:firstLineChars="200"/>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4.成都晚熟柑橘精深加工关键技术研究及产品开发</w:t>
      </w:r>
    </w:p>
    <w:p>
      <w:pPr>
        <w:snapToGrid w:val="0"/>
        <w:spacing w:line="360" w:lineRule="auto"/>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研究内容：</w:t>
      </w:r>
      <w:r>
        <w:rPr>
          <w:rFonts w:ascii="Times New Roman" w:hAnsi="Times New Roman" w:eastAsia="仿宋_GB2312" w:cs="Times New Roman"/>
          <w:color w:val="000000"/>
          <w:sz w:val="32"/>
          <w:szCs w:val="32"/>
        </w:rPr>
        <w:t>开展以成都晚熟柑橘为主的复合果汁、果粉、蜜茶等加工关键技术研究与产品开发；开展柑橘（加工）副产物（果皮、果渣、柑橘嫩果等）综合利用关键技术研究，开发以果皮、嫩果为主要原料的健康复合茶饮产品。</w:t>
      </w:r>
    </w:p>
    <w:p>
      <w:pPr>
        <w:snapToGrid w:val="0"/>
        <w:spacing w:line="360" w:lineRule="auto"/>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考核指标：</w:t>
      </w:r>
      <w:r>
        <w:rPr>
          <w:rFonts w:ascii="Times New Roman" w:hAnsi="Times New Roman" w:eastAsia="仿宋_GB2312" w:cs="Times New Roman"/>
          <w:color w:val="000000"/>
          <w:sz w:val="32"/>
          <w:szCs w:val="32"/>
        </w:rPr>
        <w:t>开发以成都晚熟柑橘</w:t>
      </w:r>
      <w:r>
        <w:rPr>
          <w:rFonts w:hint="eastAsia" w:ascii="Times New Roman" w:hAnsi="Times New Roman" w:eastAsia="仿宋_GB2312" w:cs="Times New Roman"/>
          <w:color w:val="000000"/>
          <w:sz w:val="32"/>
          <w:szCs w:val="32"/>
        </w:rPr>
        <w:t>（果皮</w:t>
      </w:r>
      <w:r>
        <w:rPr>
          <w:rFonts w:ascii="Times New Roman" w:hAnsi="Times New Roman" w:eastAsia="仿宋_GB2312" w:cs="Times New Roman"/>
          <w:color w:val="000000"/>
          <w:sz w:val="32"/>
          <w:szCs w:val="32"/>
        </w:rPr>
        <w:t>、嫩</w:t>
      </w:r>
      <w:r>
        <w:rPr>
          <w:rFonts w:hint="eastAsia" w:ascii="Times New Roman" w:hAnsi="Times New Roman" w:eastAsia="仿宋_GB2312" w:cs="Times New Roman"/>
          <w:color w:val="000000"/>
          <w:sz w:val="32"/>
          <w:szCs w:val="32"/>
        </w:rPr>
        <w:t>果）</w:t>
      </w:r>
      <w:r>
        <w:rPr>
          <w:rFonts w:ascii="Times New Roman" w:hAnsi="Times New Roman" w:eastAsia="仿宋_GB2312" w:cs="Times New Roman"/>
          <w:color w:val="000000"/>
          <w:sz w:val="32"/>
          <w:szCs w:val="32"/>
        </w:rPr>
        <w:t>为主的复合果汁、蜜茶产品2个</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饮品2种，形成生产关键技术</w:t>
      </w: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套，建立中试及产业化示范基地2个；</w:t>
      </w:r>
      <w:r>
        <w:rPr>
          <w:rFonts w:hint="eastAsia" w:ascii="Times New Roman" w:hAnsi="Times New Roman" w:eastAsia="仿宋_GB2312" w:cs="Times New Roman"/>
          <w:color w:val="000000"/>
          <w:sz w:val="32"/>
          <w:szCs w:val="32"/>
        </w:rPr>
        <w:t>建立</w:t>
      </w:r>
      <w:r>
        <w:rPr>
          <w:rFonts w:ascii="Times New Roman" w:hAnsi="Times New Roman" w:eastAsia="仿宋_GB2312" w:cs="Times New Roman"/>
          <w:color w:val="000000"/>
          <w:sz w:val="32"/>
          <w:szCs w:val="32"/>
        </w:rPr>
        <w:t>柑橘及其副产物功能活性因子生产制备关键技术2套；发表SCI论文3篇；申请发明专利3项。</w:t>
      </w:r>
    </w:p>
    <w:p>
      <w:pPr>
        <w:snapToGrid w:val="0"/>
        <w:spacing w:line="360" w:lineRule="auto"/>
        <w:ind w:firstLine="643" w:firstLineChars="200"/>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5.成都及周边规模茶园鲜叶机械采收与智能筛选分级关键技术研究与示范</w:t>
      </w:r>
    </w:p>
    <w:p>
      <w:pPr>
        <w:snapToGrid w:val="0"/>
        <w:spacing w:line="360" w:lineRule="auto"/>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研究内容：</w:t>
      </w:r>
      <w:r>
        <w:rPr>
          <w:rFonts w:ascii="Times New Roman" w:hAnsi="Times New Roman" w:eastAsia="仿宋_GB2312" w:cs="Times New Roman"/>
          <w:color w:val="000000"/>
          <w:sz w:val="32"/>
          <w:szCs w:val="32"/>
        </w:rPr>
        <w:t>围绕都市现代农业产业生态圈发展定位，针对成都及周边规模茶园高效生产的采收环节存在的难题，综合运用机、电、液一体化技术，突破黑茶采收精度和采收效率并举的关键技术，实现柔性夹持、多机械手立体采摘和复合加工分级，解决黑茶最佳采收时期短、强度大和精度差的问题。</w:t>
      </w:r>
    </w:p>
    <w:p>
      <w:pPr>
        <w:snapToGrid w:val="0"/>
        <w:spacing w:line="360" w:lineRule="auto"/>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考核指标：</w:t>
      </w:r>
      <w:r>
        <w:rPr>
          <w:rFonts w:ascii="Times New Roman" w:hAnsi="Times New Roman" w:eastAsia="仿宋_GB2312" w:cs="Times New Roman"/>
          <w:color w:val="000000"/>
          <w:sz w:val="32"/>
          <w:szCs w:val="32"/>
        </w:rPr>
        <w:t>采收效率不低于45个芽/min；实现自动化分级的电动精准采摘；采收轨迹由北斗定位，精度1m内。</w:t>
      </w:r>
    </w:p>
    <w:p>
      <w:pPr>
        <w:snapToGrid w:val="0"/>
        <w:spacing w:line="360" w:lineRule="auto"/>
        <w:ind w:firstLine="643" w:firstLineChars="200"/>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6.红豆杉新品种实验示范园区建设</w:t>
      </w:r>
    </w:p>
    <w:p>
      <w:pPr>
        <w:snapToGrid w:val="0"/>
        <w:spacing w:line="360" w:lineRule="auto"/>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研究内容：</w:t>
      </w:r>
      <w:r>
        <w:rPr>
          <w:rFonts w:ascii="Times New Roman" w:hAnsi="Times New Roman" w:eastAsia="仿宋_GB2312" w:cs="Times New Roman"/>
          <w:color w:val="000000"/>
          <w:sz w:val="32"/>
          <w:szCs w:val="32"/>
        </w:rPr>
        <w:t>本项目规划建设红豆杉新品种实验示范园区面积50亩，拟搭建功能型红豆杉新品种创制创新平台，重点创制与培育快速生长型，造景专用型，“发光”、“五彩果”和“大果”型等高价值型红豆杉新品种及适用于都市农业和太空农业的专用型红豆杉新品种，拟建立国内规模最大的红豆杉种质资源和良种保存库，最终形成集新品种研发、生态观光、休闲度假为一体的现代都市农业示范区。</w:t>
      </w:r>
    </w:p>
    <w:p>
      <w:pPr>
        <w:snapToGrid w:val="0"/>
        <w:spacing w:line="360" w:lineRule="auto"/>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考核指标：</w:t>
      </w:r>
      <w:r>
        <w:rPr>
          <w:rFonts w:ascii="Times New Roman" w:hAnsi="Times New Roman" w:eastAsia="仿宋_GB2312" w:cs="Times New Roman"/>
          <w:color w:val="000000"/>
          <w:sz w:val="32"/>
          <w:szCs w:val="32"/>
        </w:rPr>
        <w:t>建设红豆杉新品种实验区50亩；建立红豆杉种质资源和良种保存库1个；申请功能型红豆杉新品种1-2个；红豆杉新品种推广辐射5个省区市；发表论文2-3篇。</w:t>
      </w:r>
    </w:p>
    <w:p>
      <w:pPr>
        <w:snapToGrid w:val="0"/>
        <w:spacing w:line="360" w:lineRule="auto"/>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7.优质丰产香菇品种引育及设施化高效栽培技术研究与示范</w:t>
      </w:r>
    </w:p>
    <w:p>
      <w:pPr>
        <w:snapToGrid w:val="0"/>
        <w:spacing w:line="360" w:lineRule="auto"/>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研究内容：</w:t>
      </w:r>
      <w:r>
        <w:rPr>
          <w:rFonts w:ascii="Times New Roman" w:hAnsi="Times New Roman" w:eastAsia="仿宋_GB2312" w:cs="Times New Roman"/>
          <w:color w:val="000000"/>
          <w:sz w:val="32"/>
          <w:szCs w:val="32"/>
        </w:rPr>
        <w:t>针对四川香菇品种单一、设施化栽培技术落后等问题，开展引进筛选适于四川周年栽培的广温型、高温型或短菌龄的优质香菇品种，香菇优质菌种扩繁和周年高效设施化栽培技术研究，香菇周年高效栽培技术集成与产业化示范。</w:t>
      </w:r>
    </w:p>
    <w:p>
      <w:pPr>
        <w:snapToGrid w:val="0"/>
        <w:spacing w:line="360" w:lineRule="auto"/>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考核指标：</w:t>
      </w:r>
      <w:r>
        <w:rPr>
          <w:rFonts w:ascii="Times New Roman" w:hAnsi="Times New Roman" w:eastAsia="仿宋_GB2312" w:cs="Times New Roman"/>
          <w:color w:val="000000"/>
          <w:sz w:val="32"/>
          <w:szCs w:val="32"/>
        </w:rPr>
        <w:t>引进特色香菇品种10个以上，筛选广温型和短菌龄的优质高产香菇品种各1个；研究建立四川特色周年高效香菇设施化栽培技术体系1套；建立香菇设施化栽培示范基地1个，示范栽培香菇10万棒；申请专利1项；发表论文1篇。</w:t>
      </w:r>
    </w:p>
    <w:p>
      <w:pPr>
        <w:snapToGrid w:val="0"/>
        <w:spacing w:line="360" w:lineRule="auto"/>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（四）成果转化引导</w:t>
      </w:r>
    </w:p>
    <w:p>
      <w:pPr>
        <w:snapToGrid w:val="0"/>
        <w:spacing w:line="360" w:lineRule="auto"/>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kern w:val="0"/>
          <w:sz w:val="32"/>
          <w:szCs w:val="32"/>
        </w:rPr>
        <w:t>8.工厂化韭黄多层立体生产关键技术研究与示范</w:t>
      </w:r>
    </w:p>
    <w:p>
      <w:pPr>
        <w:snapToGrid w:val="0"/>
        <w:spacing w:line="360" w:lineRule="auto"/>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研究内容：</w:t>
      </w:r>
      <w:r>
        <w:rPr>
          <w:rFonts w:ascii="Times New Roman" w:hAnsi="Times New Roman" w:eastAsia="仿宋_GB2312" w:cs="Times New Roman"/>
          <w:color w:val="000000"/>
          <w:sz w:val="32"/>
          <w:szCs w:val="32"/>
        </w:rPr>
        <w:t>研发韭黄工厂化栽培基质、立体栽培架、种植装备，面向郫县韭黄生产技术需求，研究种苗繁育与工厂化生产关键技术，该技术将比之传统韭黄栽培产量提高200倍以上，实现周年均衡高品质韭黄供给。</w:t>
      </w:r>
    </w:p>
    <w:p>
      <w:pPr>
        <w:snapToGrid w:val="0"/>
        <w:spacing w:line="360" w:lineRule="auto"/>
        <w:ind w:firstLine="643" w:firstLineChars="200"/>
        <w:rPr>
          <w:rFonts w:hint="eastAsia"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考核指标：</w:t>
      </w:r>
      <w:r>
        <w:rPr>
          <w:rFonts w:ascii="Times New Roman" w:hAnsi="Times New Roman" w:eastAsia="仿宋_GB2312" w:cs="Times New Roman"/>
          <w:color w:val="000000"/>
          <w:sz w:val="32"/>
          <w:szCs w:val="32"/>
        </w:rPr>
        <w:t>创制多层立体韭黄栽培装备1套</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开发韭黄专用栽培材料3种</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形成清洁高效工厂化韭黄技术体系1套</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在成都市建立示范基地1个；申请发明专利2-3项</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发表论文1-2篇</w:t>
      </w:r>
      <w:r>
        <w:rPr>
          <w:rFonts w:hint="eastAsia" w:ascii="Times New Roman" w:hAnsi="Times New Roman" w:eastAsia="仿宋_GB2312" w:cs="Times New Roman"/>
          <w:color w:val="000000"/>
          <w:sz w:val="32"/>
          <w:szCs w:val="32"/>
        </w:rPr>
        <w:t>。</w:t>
      </w:r>
    </w:p>
    <w:p>
      <w:pPr>
        <w:snapToGrid w:val="0"/>
        <w:spacing w:line="360" w:lineRule="auto"/>
        <w:ind w:firstLine="643"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b/>
          <w:bCs/>
          <w:color w:val="000000"/>
          <w:kern w:val="0"/>
          <w:sz w:val="32"/>
          <w:szCs w:val="32"/>
        </w:rPr>
        <w:t>9.猕猴桃绿色发展技术集成与研究</w:t>
      </w:r>
    </w:p>
    <w:p>
      <w:pPr>
        <w:snapToGrid w:val="0"/>
        <w:spacing w:line="360" w:lineRule="auto"/>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研究内容：</w:t>
      </w:r>
      <w:r>
        <w:rPr>
          <w:rFonts w:ascii="Times New Roman" w:hAnsi="Times New Roman" w:eastAsia="仿宋_GB2312" w:cs="Times New Roman"/>
          <w:color w:val="000000"/>
          <w:sz w:val="32"/>
          <w:szCs w:val="32"/>
        </w:rPr>
        <w:t>引进优良品种和配套技术进行区试，筛选适合的品种和技术；开展标准化生产示范园建设，带动猕猴桃产业转型升级；老果园更新改造，提升果园综合生产能力；人员培训，为产业发展提供人才和技术支撑。</w:t>
      </w:r>
    </w:p>
    <w:p>
      <w:pPr>
        <w:snapToGrid w:val="0"/>
        <w:spacing w:line="360" w:lineRule="auto"/>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考核指标：</w:t>
      </w:r>
      <w:r>
        <w:rPr>
          <w:rFonts w:ascii="Times New Roman" w:hAnsi="Times New Roman" w:eastAsia="仿宋_GB2312" w:cs="Times New Roman"/>
          <w:color w:val="000000"/>
          <w:sz w:val="32"/>
          <w:szCs w:val="32"/>
        </w:rPr>
        <w:t>引进猕猴桃新品种及砧木优系5-10个；建立标准化生产示范园100亩，举办培训会1-2次，培训人次达到200人次以上。</w:t>
      </w:r>
    </w:p>
    <w:p>
      <w:pPr>
        <w:snapToGrid w:val="0"/>
        <w:spacing w:line="360" w:lineRule="auto"/>
        <w:ind w:firstLine="643" w:firstLineChars="200"/>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10.成都多年生高产优质水稻新品种培育及配套栽培关键技术研究与示范</w:t>
      </w:r>
    </w:p>
    <w:p>
      <w:pPr>
        <w:snapToGrid w:val="0"/>
        <w:spacing w:line="360" w:lineRule="auto"/>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研究内容：</w:t>
      </w:r>
      <w:r>
        <w:rPr>
          <w:rFonts w:ascii="Times New Roman" w:hAnsi="Times New Roman" w:eastAsia="仿宋_GB2312" w:cs="Times New Roman"/>
          <w:color w:val="000000"/>
          <w:sz w:val="32"/>
          <w:szCs w:val="32"/>
        </w:rPr>
        <w:t>开展以成都多年重复生长且重复收获的水稻为主的研发、繁殖等育种关键技术研究与成果应用开发；开展多年生长重复生长重复收获的水稻综合利用关键技术研究，开发以稻谷为主要原料的商品化产品。</w:t>
      </w:r>
    </w:p>
    <w:p>
      <w:pPr>
        <w:snapToGrid w:val="0"/>
        <w:spacing w:line="360" w:lineRule="auto"/>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考核指标：</w:t>
      </w:r>
      <w:r>
        <w:rPr>
          <w:rFonts w:hint="eastAsia" w:ascii="Times New Roman" w:hAnsi="Times New Roman" w:eastAsia="仿宋_GB2312" w:cs="Times New Roman"/>
          <w:color w:val="000000"/>
          <w:sz w:val="32"/>
          <w:szCs w:val="32"/>
        </w:rPr>
        <w:t>培育多年生</w:t>
      </w:r>
      <w:r>
        <w:rPr>
          <w:rFonts w:ascii="Times New Roman" w:hAnsi="Times New Roman" w:eastAsia="仿宋_GB2312" w:cs="Times New Roman"/>
          <w:color w:val="000000"/>
          <w:sz w:val="32"/>
          <w:szCs w:val="32"/>
        </w:rPr>
        <w:t>水稻新品种（</w:t>
      </w:r>
      <w:r>
        <w:rPr>
          <w:rFonts w:hint="eastAsia" w:ascii="Times New Roman" w:hAnsi="Times New Roman" w:eastAsia="仿宋_GB2312" w:cs="Times New Roman"/>
          <w:color w:val="000000"/>
          <w:sz w:val="32"/>
          <w:szCs w:val="32"/>
        </w:rPr>
        <w:t>系</w:t>
      </w:r>
      <w:r>
        <w:rPr>
          <w:rFonts w:ascii="Times New Roman" w:hAnsi="Times New Roman" w:eastAsia="仿宋_GB2312" w:cs="Times New Roman"/>
          <w:color w:val="000000"/>
          <w:sz w:val="32"/>
          <w:szCs w:val="32"/>
        </w:rPr>
        <w:t>）3个，</w:t>
      </w:r>
      <w:r>
        <w:rPr>
          <w:rFonts w:hint="eastAsia" w:ascii="Times New Roman" w:hAnsi="Times New Roman" w:eastAsia="仿宋_GB2312" w:cs="Times New Roman"/>
          <w:color w:val="000000"/>
          <w:sz w:val="32"/>
          <w:szCs w:val="32"/>
        </w:rPr>
        <w:t>形成</w:t>
      </w:r>
      <w:r>
        <w:rPr>
          <w:rFonts w:ascii="Times New Roman" w:hAnsi="Times New Roman" w:eastAsia="仿宋_GB2312" w:cs="Times New Roman"/>
          <w:color w:val="000000"/>
          <w:sz w:val="32"/>
          <w:szCs w:val="32"/>
        </w:rPr>
        <w:t>配套栽培技术</w:t>
      </w:r>
      <w:r>
        <w:rPr>
          <w:rFonts w:hint="eastAsia" w:ascii="Times New Roman" w:hAnsi="Times New Roman" w:eastAsia="仿宋_GB2312" w:cs="Times New Roman"/>
          <w:color w:val="000000"/>
          <w:sz w:val="32"/>
          <w:szCs w:val="32"/>
        </w:rPr>
        <w:t>体系</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套</w:t>
      </w:r>
      <w:r>
        <w:rPr>
          <w:rFonts w:ascii="Times New Roman" w:hAnsi="Times New Roman" w:eastAsia="仿宋_GB2312" w:cs="Times New Roman"/>
          <w:color w:val="000000"/>
          <w:sz w:val="32"/>
          <w:szCs w:val="32"/>
        </w:rPr>
        <w:t>，建立研发及产业化示范基地1个；开发稻谷加工商品3种，形成规模生产关键技术1</w:t>
      </w:r>
      <w:r>
        <w:rPr>
          <w:rFonts w:hint="eastAsia" w:ascii="Times New Roman" w:hAnsi="Times New Roman" w:eastAsia="仿宋_GB2312" w:cs="Times New Roman"/>
          <w:color w:val="000000"/>
          <w:sz w:val="32"/>
          <w:szCs w:val="32"/>
        </w:rPr>
        <w:t>项</w:t>
      </w:r>
      <w:r>
        <w:rPr>
          <w:rFonts w:ascii="Times New Roman" w:hAnsi="Times New Roman" w:eastAsia="仿宋_GB2312" w:cs="Times New Roman"/>
          <w:color w:val="000000"/>
          <w:sz w:val="32"/>
          <w:szCs w:val="32"/>
        </w:rPr>
        <w:t>。</w:t>
      </w:r>
    </w:p>
    <w:p>
      <w:pPr>
        <w:snapToGrid w:val="0"/>
        <w:spacing w:line="360" w:lineRule="auto"/>
        <w:ind w:firstLine="643" w:firstLineChars="200"/>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11.白肉枇杷新品种选育与配套栽培技术研究及示范</w:t>
      </w:r>
    </w:p>
    <w:p>
      <w:pPr>
        <w:snapToGrid w:val="0"/>
        <w:spacing w:line="360" w:lineRule="auto"/>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研究内容：</w:t>
      </w:r>
      <w:r>
        <w:rPr>
          <w:rFonts w:ascii="Times New Roman" w:hAnsi="Times New Roman" w:eastAsia="仿宋_GB2312" w:cs="Times New Roman"/>
          <w:color w:val="000000"/>
          <w:sz w:val="32"/>
          <w:szCs w:val="32"/>
        </w:rPr>
        <w:t>开展枇杷种质资源收集、精准评价，采用杂交育种、实生选种等方法，创制白肉枇杷品种资源，选育出在品质、抗性、熟期等方面性状优异的新品种。研究示范枇杷轻简化、宜机化和标准化技术，提升枇杷生产技术，实现枇杷生产省力降本、提质增效。</w:t>
      </w:r>
    </w:p>
    <w:p>
      <w:pPr>
        <w:snapToGrid w:val="0"/>
        <w:spacing w:line="360" w:lineRule="auto"/>
        <w:ind w:firstLine="643"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b/>
          <w:bCs/>
          <w:color w:val="000000"/>
          <w:sz w:val="32"/>
          <w:szCs w:val="32"/>
        </w:rPr>
        <w:t>考核指标：</w:t>
      </w:r>
      <w:r>
        <w:rPr>
          <w:rFonts w:ascii="Times New Roman" w:hAnsi="Times New Roman" w:eastAsia="仿宋_GB2312" w:cs="Times New Roman"/>
          <w:color w:val="000000"/>
          <w:sz w:val="32"/>
          <w:szCs w:val="32"/>
        </w:rPr>
        <w:t>培育肉枇杷新品种（系）2-3个</w:t>
      </w:r>
      <w:r>
        <w:rPr>
          <w:rFonts w:hint="eastAsia" w:ascii="Times New Roman" w:hAnsi="Times New Roman" w:eastAsia="仿宋_GB2312" w:cs="Times New Roman"/>
          <w:color w:val="000000"/>
          <w:sz w:val="32"/>
          <w:szCs w:val="32"/>
        </w:rPr>
        <w:t>，形成配套</w:t>
      </w:r>
      <w:r>
        <w:rPr>
          <w:rFonts w:ascii="Times New Roman" w:hAnsi="Times New Roman" w:eastAsia="仿宋_GB2312" w:cs="Times New Roman"/>
          <w:color w:val="000000"/>
          <w:sz w:val="32"/>
          <w:szCs w:val="32"/>
        </w:rPr>
        <w:t>栽培技术</w:t>
      </w:r>
      <w:r>
        <w:rPr>
          <w:rFonts w:hint="eastAsia" w:ascii="Times New Roman" w:hAnsi="Times New Roman" w:eastAsia="仿宋_GB2312" w:cs="Times New Roman"/>
          <w:color w:val="000000"/>
          <w:sz w:val="32"/>
          <w:szCs w:val="32"/>
        </w:rPr>
        <w:t>体系</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套</w:t>
      </w:r>
      <w:r>
        <w:rPr>
          <w:rFonts w:ascii="Times New Roman" w:hAnsi="Times New Roman" w:eastAsia="仿宋_GB2312" w:cs="Times New Roman"/>
          <w:color w:val="000000"/>
          <w:sz w:val="32"/>
          <w:szCs w:val="32"/>
        </w:rPr>
        <w:t>；示范推广500亩；培训技术人员及果农200人次。</w:t>
      </w:r>
    </w:p>
    <w:p>
      <w:pPr>
        <w:snapToGrid w:val="0"/>
        <w:spacing w:line="360" w:lineRule="auto"/>
        <w:ind w:left="601"/>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二</w:t>
      </w:r>
      <w:r>
        <w:rPr>
          <w:rFonts w:ascii="Times New Roman" w:hAnsi="Times New Roman" w:eastAsia="黑体" w:cs="Times New Roman"/>
          <w:color w:val="000000"/>
          <w:sz w:val="32"/>
          <w:szCs w:val="32"/>
        </w:rPr>
        <w:t>、有关要求</w:t>
      </w:r>
    </w:p>
    <w:p>
      <w:pPr>
        <w:snapToGrid w:val="0"/>
        <w:spacing w:line="360" w:lineRule="auto"/>
        <w:ind w:left="600"/>
        <w:rPr>
          <w:rFonts w:ascii="Times New Roman" w:hAnsi="Times New Roman" w:eastAsia="楷体_GB2312" w:cs="Times New Roman"/>
          <w:b/>
          <w:color w:val="000000"/>
          <w:sz w:val="32"/>
          <w:szCs w:val="32"/>
        </w:rPr>
      </w:pPr>
      <w:r>
        <w:rPr>
          <w:rFonts w:hint="eastAsia" w:ascii="Times New Roman" w:hAnsi="Times New Roman" w:eastAsia="楷体_GB2312" w:cs="Times New Roman"/>
          <w:b/>
          <w:color w:val="000000"/>
          <w:sz w:val="32"/>
          <w:szCs w:val="32"/>
        </w:rPr>
        <w:t>（一）申请</w:t>
      </w:r>
      <w:r>
        <w:rPr>
          <w:rFonts w:ascii="Times New Roman" w:hAnsi="Times New Roman" w:eastAsia="楷体_GB2312" w:cs="Times New Roman"/>
          <w:b/>
          <w:color w:val="000000"/>
          <w:sz w:val="32"/>
          <w:szCs w:val="32"/>
        </w:rPr>
        <w:t>人</w:t>
      </w:r>
    </w:p>
    <w:p>
      <w:pPr>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1.具有承担或从事相关研究的经历；</w:t>
      </w:r>
    </w:p>
    <w:p>
      <w:pPr>
        <w:snapToGrid w:val="0"/>
        <w:spacing w:line="360" w:lineRule="auto"/>
        <w:ind w:firstLine="640" w:firstLineChars="200"/>
        <w:rPr>
          <w:rFonts w:hint="eastAsia"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2.具有高级专业技术职称或博士学位，或</w:t>
      </w:r>
      <w:r>
        <w:rPr>
          <w:rFonts w:hint="eastAsia" w:ascii="Times New Roman" w:hAnsi="Times New Roman" w:eastAsia="仿宋_GB2312" w:cs="Times New Roman"/>
          <w:color w:val="000000"/>
          <w:sz w:val="32"/>
          <w:szCs w:val="32"/>
        </w:rPr>
        <w:t>获得</w:t>
      </w:r>
      <w:r>
        <w:rPr>
          <w:rFonts w:ascii="Times New Roman" w:hAnsi="Times New Roman" w:eastAsia="仿宋_GB2312" w:cs="Times New Roman"/>
          <w:color w:val="000000"/>
          <w:sz w:val="32"/>
          <w:szCs w:val="32"/>
        </w:rPr>
        <w:t>硕士学位4年（含）以上</w:t>
      </w:r>
      <w:r>
        <w:rPr>
          <w:rFonts w:hint="eastAsia" w:ascii="Times New Roman" w:hAnsi="Times New Roman" w:eastAsia="仿宋_GB2312" w:cs="Times New Roman"/>
          <w:color w:val="000000"/>
          <w:sz w:val="32"/>
          <w:szCs w:val="32"/>
        </w:rPr>
        <w:t>；</w:t>
      </w:r>
    </w:p>
    <w:p>
      <w:pPr>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3.无严重违法失信记录；</w:t>
      </w:r>
    </w:p>
    <w:p>
      <w:pPr>
        <w:snapToGrid w:val="0"/>
        <w:spacing w:line="360" w:lineRule="auto"/>
        <w:ind w:firstLine="640" w:firstLineChars="200"/>
        <w:rPr>
          <w:rFonts w:hint="eastAsia"/>
        </w:rPr>
      </w:pPr>
      <w:r>
        <w:rPr>
          <w:rFonts w:ascii="Times New Roman" w:hAnsi="Times New Roman" w:eastAsia="仿宋_GB2312" w:cs="Times New Roman"/>
          <w:color w:val="000000"/>
          <w:sz w:val="32"/>
          <w:szCs w:val="32"/>
        </w:rPr>
        <w:t>4.</w:t>
      </w:r>
      <w:r>
        <w:rPr>
          <w:rFonts w:hint="eastAsia" w:ascii="Times New Roman" w:hAnsi="Times New Roman" w:eastAsia="仿宋_GB2312" w:cs="Times New Roman"/>
          <w:color w:val="000000"/>
          <w:sz w:val="32"/>
          <w:szCs w:val="32"/>
        </w:rPr>
        <w:t>每个</w:t>
      </w:r>
      <w:r>
        <w:rPr>
          <w:rFonts w:ascii="Times New Roman" w:hAnsi="Times New Roman" w:eastAsia="仿宋_GB2312" w:cs="Times New Roman"/>
          <w:color w:val="000000"/>
          <w:sz w:val="32"/>
          <w:szCs w:val="32"/>
        </w:rPr>
        <w:t>申请人限</w:t>
      </w:r>
      <w:r>
        <w:rPr>
          <w:rFonts w:hint="eastAsia" w:ascii="Times New Roman" w:hAnsi="Times New Roman" w:eastAsia="仿宋_GB2312" w:cs="Times New Roman"/>
          <w:color w:val="000000"/>
          <w:sz w:val="32"/>
          <w:szCs w:val="32"/>
        </w:rPr>
        <w:t>申报1项</w:t>
      </w:r>
      <w:r>
        <w:rPr>
          <w:rFonts w:ascii="Times New Roman" w:hAnsi="Times New Roman" w:eastAsia="仿宋_GB2312" w:cs="Times New Roman"/>
          <w:color w:val="000000"/>
          <w:sz w:val="32"/>
          <w:szCs w:val="32"/>
        </w:rPr>
        <w:t>。</w:t>
      </w:r>
    </w:p>
    <w:p>
      <w:pPr>
        <w:snapToGrid w:val="0"/>
        <w:spacing w:line="360" w:lineRule="auto"/>
        <w:ind w:left="600"/>
        <w:rPr>
          <w:rFonts w:ascii="Times New Roman" w:hAnsi="Times New Roman" w:eastAsia="楷体_GB2312" w:cs="Times New Roman"/>
          <w:b/>
          <w:sz w:val="32"/>
          <w:szCs w:val="32"/>
        </w:rPr>
      </w:pPr>
      <w:r>
        <w:rPr>
          <w:rFonts w:hint="eastAsia" w:ascii="Times New Roman" w:hAnsi="Times New Roman" w:eastAsia="楷体_GB2312" w:cs="Times New Roman"/>
          <w:b/>
          <w:color w:val="000000"/>
          <w:sz w:val="32"/>
          <w:szCs w:val="32"/>
        </w:rPr>
        <w:t>（二）实施</w:t>
      </w:r>
      <w:r>
        <w:rPr>
          <w:rFonts w:ascii="Times New Roman" w:hAnsi="Times New Roman" w:eastAsia="楷体_GB2312" w:cs="Times New Roman"/>
          <w:b/>
          <w:color w:val="000000"/>
          <w:sz w:val="32"/>
          <w:szCs w:val="32"/>
        </w:rPr>
        <w:t>周期</w:t>
      </w:r>
    </w:p>
    <w:p>
      <w:pPr>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sz w:val="32"/>
          <w:szCs w:val="32"/>
        </w:rPr>
        <w:t>宏观政策研究类</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rPr>
        <w:t>实施</w:t>
      </w:r>
      <w:r>
        <w:rPr>
          <w:rFonts w:ascii="Times New Roman" w:hAnsi="Times New Roman" w:eastAsia="仿宋_GB2312" w:cs="Times New Roman"/>
          <w:sz w:val="32"/>
          <w:szCs w:val="32"/>
        </w:rPr>
        <w:t>周期为</w:t>
      </w:r>
      <w:r>
        <w:rPr>
          <w:rFonts w:hint="eastAsia" w:ascii="Times New Roman" w:hAnsi="Times New Roman" w:eastAsia="仿宋_GB2312" w:cs="Times New Roman"/>
          <w:sz w:val="32"/>
          <w:szCs w:val="32"/>
        </w:rPr>
        <w:t>1年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科研平台建设、重点研发支撑、成果转化引导类</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rPr>
        <w:t>实施</w:t>
      </w:r>
      <w:r>
        <w:rPr>
          <w:rFonts w:ascii="Times New Roman" w:hAnsi="Times New Roman" w:eastAsia="仿宋_GB2312" w:cs="Times New Roman"/>
          <w:sz w:val="32"/>
          <w:szCs w:val="32"/>
        </w:rPr>
        <w:t>周期为</w:t>
      </w:r>
      <w:r>
        <w:rPr>
          <w:rFonts w:ascii="Times New Roman" w:hAnsi="Times New Roman" w:eastAsia="仿宋_GB2312" w:cs="Times New Roman"/>
          <w:color w:val="000000"/>
          <w:sz w:val="32"/>
          <w:szCs w:val="32"/>
        </w:rPr>
        <w:t>1-2年。</w:t>
      </w:r>
      <w:r>
        <w:rPr>
          <w:rFonts w:hint="eastAsia" w:ascii="Times New Roman" w:hAnsi="Times New Roman" w:eastAsia="仿宋_GB2312" w:cs="Times New Roman"/>
          <w:color w:val="000000"/>
          <w:sz w:val="32"/>
          <w:szCs w:val="32"/>
        </w:rPr>
        <w:t>实施时间自</w:t>
      </w:r>
      <w:r>
        <w:rPr>
          <w:rFonts w:ascii="Times New Roman" w:hAnsi="Times New Roman" w:eastAsia="仿宋_GB2312" w:cs="Times New Roman"/>
          <w:color w:val="000000"/>
          <w:sz w:val="32"/>
          <w:szCs w:val="32"/>
        </w:rPr>
        <w:t>任务合同书签订之日起。</w:t>
      </w:r>
    </w:p>
    <w:p>
      <w:pPr>
        <w:snapToGrid w:val="0"/>
        <w:spacing w:line="360" w:lineRule="auto"/>
        <w:ind w:left="600"/>
        <w:rPr>
          <w:rFonts w:hint="eastAsia" w:ascii="Times New Roman" w:hAnsi="Times New Roman" w:eastAsia="楷体_GB2312" w:cs="Times New Roman"/>
          <w:b/>
          <w:sz w:val="32"/>
          <w:szCs w:val="32"/>
        </w:rPr>
      </w:pPr>
      <w:r>
        <w:rPr>
          <w:rFonts w:hint="eastAsia" w:ascii="Times New Roman" w:hAnsi="Times New Roman" w:eastAsia="楷体_GB2312" w:cs="Times New Roman"/>
          <w:b/>
          <w:color w:val="000000"/>
          <w:sz w:val="32"/>
          <w:szCs w:val="32"/>
        </w:rPr>
        <w:t>（三）其他</w:t>
      </w:r>
    </w:p>
    <w:p>
      <w:pPr>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优先支持产学研联合申报，鼓励申请人与在蓉农业龙头企业、农业产业功能区联合开展科技攻关；</w:t>
      </w:r>
    </w:p>
    <w:p>
      <w:pPr>
        <w:snapToGrid w:val="0"/>
        <w:spacing w:line="360" w:lineRule="auto"/>
        <w:ind w:firstLine="640" w:firstLineChars="200"/>
        <w:rPr>
          <w:rFonts w:hint="eastAsia"/>
        </w:rPr>
      </w:pPr>
      <w:r>
        <w:rPr>
          <w:rFonts w:ascii="Times New Roman" w:hAnsi="Times New Roman" w:eastAsia="仿宋_GB2312" w:cs="Times New Roman"/>
          <w:color w:val="000000"/>
          <w:sz w:val="32"/>
          <w:szCs w:val="32"/>
        </w:rPr>
        <w:t>2.</w:t>
      </w:r>
      <w:r>
        <w:rPr>
          <w:rFonts w:hint="eastAsia" w:ascii="Times New Roman" w:hAnsi="Times New Roman" w:eastAsia="仿宋_GB2312" w:cs="Times New Roman"/>
          <w:sz w:val="32"/>
          <w:szCs w:val="32"/>
        </w:rPr>
        <w:t>重点研发支撑、成果转化引导类</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rPr>
        <w:t>原则上需提供</w:t>
      </w:r>
      <w:r>
        <w:rPr>
          <w:rFonts w:hint="eastAsia" w:ascii="Times New Roman" w:hAnsi="Times New Roman" w:eastAsia="仿宋_GB2312" w:cs="Times New Roman"/>
          <w:color w:val="000000"/>
          <w:sz w:val="32"/>
          <w:szCs w:val="32"/>
        </w:rPr>
        <w:t>不低于1:1的</w:t>
      </w:r>
      <w:r>
        <w:rPr>
          <w:rFonts w:ascii="Times New Roman" w:hAnsi="Times New Roman" w:eastAsia="仿宋_GB2312" w:cs="Times New Roman"/>
          <w:sz w:val="32"/>
          <w:szCs w:val="32"/>
        </w:rPr>
        <w:t>配套经费</w:t>
      </w:r>
      <w:r>
        <w:rPr>
          <w:rFonts w:hint="eastAsia" w:ascii="Times New Roman" w:hAnsi="Times New Roman" w:eastAsia="仿宋_GB2312" w:cs="Times New Roman"/>
          <w:color w:val="000000"/>
          <w:sz w:val="32"/>
          <w:szCs w:val="32"/>
        </w:rPr>
        <w:t>。</w:t>
      </w:r>
    </w:p>
    <w:p/>
    <w:sectPr>
      <w:footerReference r:id="rId4" w:type="first"/>
      <w:footerReference r:id="rId3" w:type="default"/>
      <w:pgSz w:w="11900" w:h="16840"/>
      <w:pgMar w:top="1247" w:right="1797" w:bottom="1247" w:left="1797" w:header="851" w:footer="992" w:gutter="0"/>
      <w:pgNumType w:fmt="numberInDash" w:start="1"/>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Calibri" w:hAnsi="Calibri" w:eastAsia="宋体" w:cs="Times New Roman"/>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B0B0A"/>
    <w:rsid w:val="2BA20D8F"/>
    <w:rsid w:val="38F84AEF"/>
    <w:rsid w:val="4C7B0B0A"/>
    <w:rsid w:val="6B944B61"/>
    <w:rsid w:val="6FEC4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2908</Words>
  <Characters>2973</Characters>
  <Lines>0</Lines>
  <Paragraphs>0</Paragraphs>
  <TotalTime>3</TotalTime>
  <ScaleCrop>false</ScaleCrop>
  <LinksUpToDate>false</LinksUpToDate>
  <CharactersWithSpaces>2973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2020-09-23T06:25:00Z</dcterms:created>
  <dc:creator>李金艳</dc:creator>
  <cp:lastModifiedBy>李金艳</cp:lastModifiedBy>
  <dcterms:modified xsi:type="dcterms:W3CDTF">2020-09-25T04:42:39Z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