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附件2：</w:t>
      </w:r>
    </w:p>
    <w:p>
      <w:pPr>
        <w:spacing w:after="312" w:afterLines="100"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成都农业科技中心</w:t>
      </w:r>
      <w:r>
        <w:rPr>
          <w:rFonts w:hint="eastAsia"/>
          <w:b/>
          <w:bCs/>
          <w:sz w:val="36"/>
          <w:szCs w:val="36"/>
        </w:rPr>
        <w:t>团队设置、</w:t>
      </w:r>
      <w:r>
        <w:rPr>
          <w:b/>
          <w:bCs/>
          <w:sz w:val="36"/>
          <w:szCs w:val="36"/>
        </w:rPr>
        <w:t>研究内容</w:t>
      </w:r>
      <w:r>
        <w:rPr>
          <w:rFonts w:hint="eastAsia"/>
          <w:b/>
          <w:bCs/>
          <w:sz w:val="36"/>
          <w:szCs w:val="36"/>
        </w:rPr>
        <w:t>及</w:t>
      </w:r>
      <w:r>
        <w:rPr>
          <w:b/>
          <w:bCs/>
          <w:sz w:val="36"/>
          <w:szCs w:val="36"/>
        </w:rPr>
        <w:t>专业要求</w:t>
      </w:r>
    </w:p>
    <w:bookmarkEnd w:id="0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39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178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主要研究内容</w:t>
            </w:r>
          </w:p>
        </w:tc>
        <w:tc>
          <w:tcPr>
            <w:tcW w:w="196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hint="default" w:ascii="仿宋_GB2312" w:eastAsia="仿宋_GB2312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250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智能园艺装备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创新团队</w:t>
            </w: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无土栽培根际环境与植物互作；蔬菜工厂化农业栽培装备研究；新型硬质基质的配方及制作工艺。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</w:rPr>
            </w:pPr>
            <w:r>
              <w:rPr>
                <w:rFonts w:hint="eastAsia" w:asciiTheme="minorEastAsia" w:hAnsiTheme="minorEastAsia"/>
              </w:rPr>
              <w:t>理学类、工学类、农学类、交叉学科类；农业机械方向、设施园艺方向；陶瓷材料学方向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50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/>
              </w:rPr>
              <w:t>负责研发主粮作物加代快繁和高附加值补光需求的LED光配方及其配套技术</w:t>
            </w:r>
            <w:r>
              <w:rPr>
                <w:rFonts w:hint="eastAsia" w:asciiTheme="minorEastAsia" w:hAnsiTheme="minorEastAsia"/>
                <w:lang w:eastAsia="zh-CN"/>
              </w:rPr>
              <w:t>。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农业生物环境与能源工程，设施农业科学与工程、农业建筑工程、控制工程、节能工程等相关专业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50" w:type="pct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设施园艺光</w:t>
            </w:r>
            <w:r>
              <w:rPr>
                <w:rFonts w:hint="eastAsia" w:asciiTheme="minorEastAsia" w:hAnsiTheme="minorEastAsia"/>
              </w:rPr>
              <w:t>生物学</w:t>
            </w: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与光环境调控创新团队</w:t>
            </w: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设施蔬菜光形态建成、生长发育及品质调控机制；设施蔬菜生理生态与环境互作及精准调控机理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植物光生物学、分子生物学、蔬菜学及设施园艺学相关专业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食用菌设施栽培与健康产品创新团队</w:t>
            </w: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食用菌育种与栽培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观赏园艺与创意栽培创新团队</w:t>
            </w: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从事观赏园艺植物的优质栽培、创意栽培、景观构建、功能挖掘及利用等研发与应用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园艺学、园林植物与观赏园艺等相关专业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智能园艺机器人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17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植物工厂机器人研究，图像及光谱解析处理，采收机械臂控制，机器人农机农艺融合</w:t>
            </w:r>
          </w:p>
        </w:tc>
        <w:tc>
          <w:tcPr>
            <w:tcW w:w="19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计算机技术、自动化专业、机械设计制造及自动化、应用数学、软件工程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城市有机废弃物资源化利用团队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设施农业基质栽培营养调控与管理，创意栽培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农业生物环境与能源工程、土壤学、设施园艺栽培等相关专业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西南重大与新发动物疫病防控科研团队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动物病毒致病机制研究、新型诊断试剂和高效动物疫苗研制。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兽医学、生物学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设施种养废弃资源利用工程团队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设施栽培废弃物、规模化畜禽废弃物处理与资源化利用技术和装备研发</w:t>
            </w:r>
          </w:p>
        </w:tc>
        <w:tc>
          <w:tcPr>
            <w:tcW w:w="3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环境工程、农业生物环境与能源工程、环境科学、高分子化学等相关专业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6654509B"/>
    <w:rsid w:val="665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665</Characters>
  <Lines>0</Lines>
  <Paragraphs>0</Paragraphs>
  <TotalTime>0</TotalTime>
  <ScaleCrop>false</ScaleCrop>
  <LinksUpToDate>false</LinksUpToDate>
  <CharactersWithSpaces>665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2022-11-18T10:13:00Z</dcterms:created>
  <dc:creator>pc-zqs2018050411</dc:creator>
  <cp:lastModifiedBy>pc-zqs2018050411</cp:lastModifiedBy>
  <dcterms:modified xsi:type="dcterms:W3CDTF">2022-11-18T10:13:50Z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4B002EBCD07441748F0286D916BB57DE</vt:lpwstr>
  </property>
</Properties>
</file>