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3B6B" w14:textId="77777777" w:rsidR="009861D9" w:rsidRDefault="009861D9" w:rsidP="009861D9">
      <w:pPr>
        <w:jc w:val="left"/>
        <w:rPr>
          <w:rFonts w:ascii="仿宋_GB2312" w:eastAsia="仿宋_GB2312" w:hAnsi="宋体" w:cs="Calibri"/>
          <w:color w:val="000000" w:themeColor="text1"/>
          <w:kern w:val="0"/>
          <w:sz w:val="32"/>
          <w:szCs w:val="32"/>
        </w:rPr>
      </w:pPr>
      <w:r>
        <w:rPr>
          <w:rFonts w:ascii="仿宋_GB2312" w:eastAsia="仿宋_GB2312" w:hAnsi="宋体" w:cs="Calibri" w:hint="eastAsia"/>
          <w:color w:val="000000" w:themeColor="text1"/>
          <w:kern w:val="0"/>
          <w:sz w:val="32"/>
          <w:szCs w:val="32"/>
        </w:rPr>
        <w:t>附件1：</w:t>
      </w:r>
    </w:p>
    <w:p w14:paraId="360F4845" w14:textId="77777777" w:rsidR="009861D9" w:rsidRDefault="009861D9" w:rsidP="009861D9">
      <w:pPr>
        <w:jc w:val="center"/>
        <w:rPr>
          <w:rFonts w:ascii="黑体" w:eastAsia="黑体" w:hAnsi="黑体"/>
          <w:sz w:val="44"/>
          <w:szCs w:val="44"/>
        </w:rPr>
      </w:pPr>
      <w:r>
        <w:rPr>
          <w:rFonts w:ascii="黑体" w:eastAsia="黑体" w:hAnsi="黑体" w:hint="eastAsia"/>
          <w:sz w:val="44"/>
          <w:szCs w:val="44"/>
        </w:rPr>
        <w:t xml:space="preserve"> “揭榜挂帅”课题榜单（第一批）</w:t>
      </w:r>
    </w:p>
    <w:p w14:paraId="03545517" w14:textId="77777777" w:rsidR="009861D9" w:rsidRDefault="009861D9" w:rsidP="009861D9">
      <w:pPr>
        <w:jc w:val="center"/>
      </w:pPr>
    </w:p>
    <w:p w14:paraId="5550F48C"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一、战略性课题（3项）</w:t>
      </w:r>
    </w:p>
    <w:p w14:paraId="1DC28A9C"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（一）成都市建设更高水平“天府粮仓”核心区战略研究</w:t>
      </w:r>
    </w:p>
    <w:p w14:paraId="4B4C54CB" w14:textId="77777777" w:rsidR="009861D9" w:rsidRDefault="009861D9" w:rsidP="009861D9">
      <w:pPr>
        <w:spacing w:line="540" w:lineRule="exact"/>
        <w:ind w:firstLineChars="200" w:firstLine="640"/>
        <w:rPr>
          <w:rFonts w:ascii="仿宋" w:eastAsia="仿宋" w:hAnsi="仿宋"/>
          <w:sz w:val="32"/>
          <w:szCs w:val="32"/>
        </w:rPr>
      </w:pPr>
      <w:r>
        <w:rPr>
          <w:rFonts w:ascii="仿宋_GB2312" w:eastAsia="仿宋_GB2312" w:cs="Calibri" w:hint="eastAsia"/>
          <w:color w:val="000000"/>
          <w:sz w:val="32"/>
          <w:szCs w:val="32"/>
        </w:rPr>
        <w:t>研究方向：</w:t>
      </w:r>
      <w:r>
        <w:rPr>
          <w:rFonts w:ascii="仿宋" w:eastAsia="仿宋" w:hAnsi="仿宋" w:hint="eastAsia"/>
          <w:sz w:val="32"/>
          <w:szCs w:val="32"/>
        </w:rPr>
        <w:t>系统梳理“天府粮仓”的历史成效、现实问题，构建新时代更高水平“天府粮仓”的评价体系。围绕1个十万亩粮油产业带、1</w:t>
      </w:r>
      <w:r>
        <w:rPr>
          <w:rFonts w:ascii="仿宋" w:eastAsia="仿宋" w:hAnsi="仿宋"/>
          <w:sz w:val="32"/>
          <w:szCs w:val="32"/>
        </w:rPr>
        <w:t>0</w:t>
      </w:r>
      <w:r>
        <w:rPr>
          <w:rFonts w:ascii="仿宋" w:eastAsia="仿宋" w:hAnsi="仿宋" w:hint="eastAsia"/>
          <w:sz w:val="32"/>
          <w:szCs w:val="32"/>
        </w:rPr>
        <w:t>个十万亩粮油产业园区和1</w:t>
      </w:r>
      <w:r>
        <w:rPr>
          <w:rFonts w:ascii="仿宋" w:eastAsia="仿宋" w:hAnsi="仿宋"/>
          <w:sz w:val="32"/>
          <w:szCs w:val="32"/>
        </w:rPr>
        <w:t>00</w:t>
      </w:r>
      <w:r>
        <w:rPr>
          <w:rFonts w:ascii="仿宋" w:eastAsia="仿宋" w:hAnsi="仿宋" w:hint="eastAsia"/>
          <w:sz w:val="32"/>
          <w:szCs w:val="32"/>
        </w:rPr>
        <w:t>个万亩粮</w:t>
      </w:r>
      <w:proofErr w:type="gramStart"/>
      <w:r>
        <w:rPr>
          <w:rFonts w:ascii="仿宋" w:eastAsia="仿宋" w:hAnsi="仿宋" w:hint="eastAsia"/>
          <w:sz w:val="32"/>
          <w:szCs w:val="32"/>
        </w:rPr>
        <w:t>经符合</w:t>
      </w:r>
      <w:proofErr w:type="gramEnd"/>
      <w:r>
        <w:rPr>
          <w:rFonts w:ascii="仿宋" w:eastAsia="仿宋" w:hAnsi="仿宋" w:hint="eastAsia"/>
          <w:sz w:val="32"/>
          <w:szCs w:val="32"/>
        </w:rPr>
        <w:t>产业片（园）区建设工作，从农田标准化、土地股份化、生产规模化，补贴政策、人才培育、金融服务等多角度梳理现有政策体系，持续跟踪研究“1、1</w:t>
      </w:r>
      <w:r>
        <w:rPr>
          <w:rFonts w:ascii="仿宋" w:eastAsia="仿宋" w:hAnsi="仿宋"/>
          <w:sz w:val="32"/>
          <w:szCs w:val="32"/>
        </w:rPr>
        <w:t>0</w:t>
      </w:r>
      <w:r>
        <w:rPr>
          <w:rFonts w:ascii="仿宋" w:eastAsia="仿宋" w:hAnsi="仿宋" w:hint="eastAsia"/>
          <w:sz w:val="32"/>
          <w:szCs w:val="32"/>
        </w:rPr>
        <w:t>、1</w:t>
      </w:r>
      <w:r>
        <w:rPr>
          <w:rFonts w:ascii="仿宋" w:eastAsia="仿宋" w:hAnsi="仿宋"/>
          <w:sz w:val="32"/>
          <w:szCs w:val="32"/>
        </w:rPr>
        <w:t>00</w:t>
      </w:r>
      <w:r>
        <w:rPr>
          <w:rFonts w:ascii="仿宋" w:eastAsia="仿宋" w:hAnsi="仿宋" w:hint="eastAsia"/>
          <w:sz w:val="32"/>
          <w:szCs w:val="32"/>
        </w:rPr>
        <w:t>”，提出建设更高水平“天府粮仓”的战略路径与战略重点，定期形成调研报告和政策建议。</w:t>
      </w:r>
    </w:p>
    <w:p w14:paraId="4A5DCC95"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1~2</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1~2</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0B7E4BFF"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实施年限：1年。</w:t>
      </w:r>
    </w:p>
    <w:p w14:paraId="07361D47"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（二）成都市探索实现农村共同富裕路径研究</w:t>
      </w:r>
    </w:p>
    <w:p w14:paraId="420DE3A4"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研究方向：</w:t>
      </w:r>
      <w:r>
        <w:rPr>
          <w:rFonts w:ascii="仿宋" w:eastAsia="仿宋" w:hAnsi="仿宋" w:hint="eastAsia"/>
          <w:sz w:val="32"/>
          <w:szCs w:val="32"/>
        </w:rPr>
        <w:t>共同富裕是中国特色社会主义的本质要求，调查研究成都城乡居民收入结构与城乡收入差距演进规律，研究优化城乡要素配置制度，对比发达地区经验，提出成都市低收入农户增收路径，探索增加要素收入、财产性收入的方式方法和政策保障，为成都市加快实现共同富裕，缩小城乡收入差距提供政策创新依据和持续数据支持。</w:t>
      </w:r>
    </w:p>
    <w:p w14:paraId="29E2E2EC"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1~2</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00283122"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实施年限：1年。</w:t>
      </w:r>
    </w:p>
    <w:p w14:paraId="20F19E13"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lastRenderedPageBreak/>
        <w:t>（三）新时代协调推进新型城镇化与乡村振兴战略研究。</w:t>
      </w:r>
    </w:p>
    <w:p w14:paraId="704A05A2" w14:textId="77777777" w:rsidR="009861D9" w:rsidRDefault="009861D9" w:rsidP="009861D9">
      <w:pPr>
        <w:spacing w:line="540" w:lineRule="exact"/>
        <w:ind w:firstLineChars="200" w:firstLine="640"/>
        <w:jc w:val="left"/>
        <w:rPr>
          <w:rFonts w:ascii="仿宋" w:eastAsia="仿宋" w:hAnsi="仿宋"/>
          <w:sz w:val="32"/>
          <w:szCs w:val="32"/>
        </w:rPr>
      </w:pPr>
      <w:r>
        <w:rPr>
          <w:rFonts w:ascii="仿宋_GB2312" w:eastAsia="仿宋_GB2312" w:cs="Calibri" w:hint="eastAsia"/>
          <w:color w:val="000000"/>
          <w:sz w:val="32"/>
          <w:szCs w:val="32"/>
        </w:rPr>
        <w:t>研究方向：</w:t>
      </w:r>
      <w:r>
        <w:rPr>
          <w:rFonts w:ascii="仿宋" w:eastAsia="仿宋" w:hAnsi="仿宋" w:hint="eastAsia"/>
          <w:sz w:val="32"/>
          <w:szCs w:val="32"/>
        </w:rPr>
        <w:t>摸清成都市新型城镇化建设和乡村振兴基本情况，梳理新阶段成都城乡融合发展实践经验、典型案例和发展瓶颈问题。通过政策解读、实地调研，分析国内外其他城市案例，研究构建成都市推动新型城镇化与乡村振兴的协同机制、对接路径和战略重点。</w:t>
      </w:r>
    </w:p>
    <w:p w14:paraId="62C7120F"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1~2</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0A0CAD2F"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实施年限：1年</w:t>
      </w:r>
    </w:p>
    <w:p w14:paraId="235C8E7C"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二、实操性课题（9项）：</w:t>
      </w:r>
    </w:p>
    <w:p w14:paraId="30D2FD8B"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（一）成都市乡村振兴促进条例立法调查研究</w:t>
      </w:r>
    </w:p>
    <w:p w14:paraId="295596D0" w14:textId="77777777" w:rsidR="009861D9" w:rsidRDefault="009861D9" w:rsidP="009861D9">
      <w:pPr>
        <w:spacing w:line="540" w:lineRule="exact"/>
        <w:ind w:firstLineChars="200" w:firstLine="640"/>
        <w:rPr>
          <w:rFonts w:ascii="仿宋" w:eastAsia="仿宋" w:hAnsi="仿宋"/>
          <w:sz w:val="32"/>
          <w:szCs w:val="32"/>
        </w:rPr>
      </w:pPr>
      <w:r>
        <w:rPr>
          <w:rFonts w:ascii="仿宋_GB2312" w:eastAsia="仿宋_GB2312" w:cs="Calibri" w:hint="eastAsia"/>
          <w:color w:val="000000"/>
          <w:sz w:val="32"/>
          <w:szCs w:val="32"/>
        </w:rPr>
        <w:t>研究方向：</w:t>
      </w:r>
      <w:r>
        <w:rPr>
          <w:rFonts w:ascii="仿宋" w:eastAsia="仿宋" w:hAnsi="仿宋" w:hint="eastAsia"/>
          <w:sz w:val="32"/>
          <w:szCs w:val="32"/>
        </w:rPr>
        <w:t>开展成都市乡村振兴促进条例立法调研课题，根据本地实际和国内其他地区先进经验，坚持问题导向，总结成都乡村振兴促进工作的亮点和不足，系统梳理并形成成都市乡村振兴促进条例立法调研报告，为成都市正式出台乡村振兴促进条例提供相关决策、咨询参考。</w:t>
      </w:r>
    </w:p>
    <w:p w14:paraId="538770D2"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0DFFF82A"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2FE02EDD"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（二）“大食物观”下超大城市多元化食</w:t>
      </w:r>
      <w:proofErr w:type="gramStart"/>
      <w:r>
        <w:rPr>
          <w:rFonts w:ascii="仿宋_GB2312" w:eastAsia="仿宋_GB2312" w:cs="Calibri" w:hint="eastAsia"/>
          <w:b/>
          <w:bCs/>
          <w:color w:val="000000"/>
          <w:sz w:val="32"/>
          <w:szCs w:val="32"/>
        </w:rPr>
        <w:t>物供应链安全</w:t>
      </w:r>
      <w:proofErr w:type="gramEnd"/>
      <w:r>
        <w:rPr>
          <w:rFonts w:ascii="仿宋_GB2312" w:eastAsia="仿宋_GB2312" w:cs="Calibri" w:hint="eastAsia"/>
          <w:b/>
          <w:bCs/>
          <w:color w:val="000000"/>
          <w:sz w:val="32"/>
          <w:szCs w:val="32"/>
        </w:rPr>
        <w:t>研究（以成都为例）</w:t>
      </w:r>
    </w:p>
    <w:p w14:paraId="46729253" w14:textId="77777777" w:rsidR="009861D9" w:rsidRDefault="009861D9" w:rsidP="009861D9">
      <w:pPr>
        <w:spacing w:line="540" w:lineRule="exact"/>
        <w:ind w:firstLineChars="200" w:firstLine="640"/>
        <w:rPr>
          <w:rFonts w:ascii="仿宋" w:eastAsia="仿宋" w:hAnsi="仿宋"/>
          <w:sz w:val="32"/>
          <w:szCs w:val="32"/>
        </w:rPr>
      </w:pPr>
      <w:r>
        <w:rPr>
          <w:rFonts w:ascii="仿宋_GB2312" w:eastAsia="仿宋_GB2312" w:cs="Calibri" w:hint="eastAsia"/>
          <w:color w:val="000000"/>
          <w:sz w:val="32"/>
          <w:szCs w:val="32"/>
        </w:rPr>
        <w:t>研究方向：</w:t>
      </w:r>
      <w:r>
        <w:rPr>
          <w:rFonts w:ascii="仿宋" w:eastAsia="仿宋" w:hAnsi="仿宋" w:hint="eastAsia"/>
          <w:sz w:val="32"/>
          <w:szCs w:val="32"/>
        </w:rPr>
        <w:t>落实“粮食安全”和“大食物观”要求，比较国内外代表性超大城市（1</w:t>
      </w:r>
      <w:r>
        <w:rPr>
          <w:rFonts w:ascii="仿宋" w:eastAsia="仿宋" w:hAnsi="仿宋"/>
          <w:sz w:val="32"/>
          <w:szCs w:val="32"/>
        </w:rPr>
        <w:t>000</w:t>
      </w:r>
      <w:r>
        <w:rPr>
          <w:rFonts w:ascii="仿宋" w:eastAsia="仿宋" w:hAnsi="仿宋" w:hint="eastAsia"/>
          <w:sz w:val="32"/>
          <w:szCs w:val="32"/>
        </w:rPr>
        <w:t>万人口以上城市）的食物系统，对比分析成都市食物供给体系韧性现状，提出超大城市粮食供给体系韧性优化思路，为成都推动粮食安全保障和提升食物供应韧性提供政策参考。</w:t>
      </w:r>
    </w:p>
    <w:p w14:paraId="34646347"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lastRenderedPageBreak/>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0A416E91"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0B3B6701"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（三）加快推进成都市新型农村集体经济发展研究</w:t>
      </w:r>
    </w:p>
    <w:p w14:paraId="00EB38EE"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研究方向：聚焦农村集体土地资源，分析成都市和其他地区通过盘活利用乡村闲置资源发展壮大集体经济的成功模式和典型经验，探索成都市进一步盘活利用乡村闲置资源的方法与路径，推动成都市新型农村集体经济发展壮大。</w:t>
      </w:r>
    </w:p>
    <w:p w14:paraId="5AF3B257"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520D9011"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6D5CC705"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（四）加快推进成都市农业生产性服务业发展研究</w:t>
      </w:r>
    </w:p>
    <w:p w14:paraId="1B4C0BC5"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研究方向：调查研究成都市农业生产型服务业的发展现状和典型做法，调查农机合作社、农资供应商、科技服务人员、涉农金融机构、农业职业院校、休闲农场业主、农业职业经理人等代表性主体对成都市生产性服务业的建议和意见，分析成都市各类农业经营主体和现代农业进行有机衔接面临的困难及实现路径，提出成都市完善都市农业生产性服务业的策略选择及政策建议。</w:t>
      </w:r>
    </w:p>
    <w:p w14:paraId="4F6C4F45"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0929E795"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27A5E69E"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（五）加强高标准农田建设与保护利用问题研究</w:t>
      </w:r>
    </w:p>
    <w:p w14:paraId="228D0AAD"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研究方向：调查分析当前成都市高标准农田保护利用存在的不足和短板，调研土壤改良、培肥地力、农田防护、生</w:t>
      </w:r>
      <w:r>
        <w:rPr>
          <w:rFonts w:ascii="仿宋_GB2312" w:eastAsia="仿宋_GB2312" w:cs="Calibri" w:hint="eastAsia"/>
          <w:color w:val="000000"/>
          <w:sz w:val="32"/>
          <w:szCs w:val="32"/>
        </w:rPr>
        <w:lastRenderedPageBreak/>
        <w:t>态保护、科技服务等投入的实际成本结构，为优化高标准农田建设投入标准奠定数据基础；探索建立高标准农田建设项目业主单位与农田实际使用者的对话和利益链接机制，提出增强成都市高标准农田建设与保护利用的政策建议和参考模式。</w:t>
      </w:r>
    </w:p>
    <w:p w14:paraId="17DF4912"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6C02F02F"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47C52134"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（六）成都市农村金融服务乡村振兴问题研究</w:t>
      </w:r>
    </w:p>
    <w:p w14:paraId="7097918B"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研究方向：聚焦成都市农村产权改革，分析农村产权抵质押模式、成效和问题，探讨提升“农贷通”平台综合服务能级、进一步打通农村金融服务“最后一公里”的系统策略，引导更多金融资源服务“三农”。</w:t>
      </w:r>
    </w:p>
    <w:p w14:paraId="01B7708B"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75653F76"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48409033"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（七）建立健全农产品加工业扶持政策长效机制研究</w:t>
      </w:r>
    </w:p>
    <w:p w14:paraId="6FE8C885"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研究方向：研究建立健全农产品加工业政策支持体系和利益联接机制，提出推进农产品加工业服务协同机制，谋划推动成都市的农产品加工业合作对接模式。</w:t>
      </w:r>
    </w:p>
    <w:p w14:paraId="506187E8"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48A7B735"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652C439E"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（八）都市现代农业产业科技支撑体系研究</w:t>
      </w:r>
    </w:p>
    <w:p w14:paraId="6E2AFCA8"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lastRenderedPageBreak/>
        <w:t>研究方向：分析国内外都市现代农业产业科技创新发展历史和经验做法，深入调研梳理在蓉科研院校、企事业单位围绕都市现代农业的产业创新思路与典型案例，系统梳理经验教训，成都优化都市现代农业产业技术创新支撑体系及政策设计提出建议。</w:t>
      </w:r>
    </w:p>
    <w:p w14:paraId="022BA754"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5FBF0360"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3DF16D1E" w14:textId="77777777" w:rsidR="009861D9" w:rsidRDefault="009861D9" w:rsidP="009861D9">
      <w:pPr>
        <w:pStyle w:val="a7"/>
        <w:shd w:val="clear" w:color="auto" w:fill="FFFFFF"/>
        <w:spacing w:before="0" w:beforeAutospacing="0" w:after="0" w:afterAutospacing="0" w:line="560" w:lineRule="atLeast"/>
        <w:jc w:val="both"/>
        <w:rPr>
          <w:rFonts w:ascii="仿宋_GB2312" w:eastAsia="仿宋_GB2312" w:cs="Calibri"/>
          <w:b/>
          <w:bCs/>
          <w:color w:val="000000"/>
          <w:sz w:val="32"/>
          <w:szCs w:val="32"/>
        </w:rPr>
      </w:pPr>
      <w:r>
        <w:rPr>
          <w:rFonts w:ascii="仿宋_GB2312" w:eastAsia="仿宋_GB2312" w:cs="Calibri" w:hint="eastAsia"/>
          <w:b/>
          <w:bCs/>
          <w:color w:val="000000"/>
          <w:sz w:val="32"/>
          <w:szCs w:val="32"/>
        </w:rPr>
        <w:t>（九）环城生态圈都市现代农业综合功能研究。</w:t>
      </w:r>
    </w:p>
    <w:p w14:paraId="71F3F050"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研究方向：以成都市环城生态圈为主要研究对象，分析国内外类似案例的都市现代农业综合功能发展方式，提出符合成都环城生态圈的都市现代农业综合功能选择和发展建议。</w:t>
      </w:r>
    </w:p>
    <w:p w14:paraId="365713CA"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考核指标：研究报告</w:t>
      </w:r>
      <w:r>
        <w:rPr>
          <w:rFonts w:ascii="仿宋_GB2312" w:eastAsia="仿宋_GB2312" w:cs="Calibri"/>
          <w:color w:val="000000"/>
          <w:sz w:val="32"/>
          <w:szCs w:val="32"/>
        </w:rPr>
        <w:t>1</w:t>
      </w:r>
      <w:r>
        <w:rPr>
          <w:rFonts w:ascii="仿宋_GB2312" w:eastAsia="仿宋_GB2312" w:cs="Calibri" w:hint="eastAsia"/>
          <w:color w:val="000000"/>
          <w:sz w:val="32"/>
          <w:szCs w:val="32"/>
        </w:rPr>
        <w:t>份，决策咨询报告</w:t>
      </w:r>
      <w:r>
        <w:rPr>
          <w:rFonts w:ascii="仿宋_GB2312" w:eastAsia="仿宋_GB2312" w:cs="Calibri"/>
          <w:color w:val="000000"/>
          <w:sz w:val="32"/>
          <w:szCs w:val="32"/>
        </w:rPr>
        <w:t>1</w:t>
      </w:r>
      <w:r>
        <w:rPr>
          <w:rFonts w:ascii="仿宋_GB2312" w:eastAsia="仿宋_GB2312" w:cs="Calibri" w:hint="eastAsia"/>
          <w:color w:val="000000"/>
          <w:sz w:val="32"/>
          <w:szCs w:val="32"/>
        </w:rPr>
        <w:t>份</w:t>
      </w:r>
      <w:r>
        <w:rPr>
          <w:rFonts w:ascii="仿宋_GB2312" w:eastAsia="仿宋_GB2312" w:cs="Calibri"/>
          <w:color w:val="000000"/>
          <w:sz w:val="32"/>
          <w:szCs w:val="32"/>
        </w:rPr>
        <w:t>。</w:t>
      </w:r>
    </w:p>
    <w:p w14:paraId="459F076C" w14:textId="77777777" w:rsidR="009861D9" w:rsidRDefault="009861D9" w:rsidP="009861D9">
      <w:pPr>
        <w:pStyle w:val="a7"/>
        <w:shd w:val="clear" w:color="auto" w:fill="FFFFFF"/>
        <w:spacing w:before="0" w:beforeAutospacing="0" w:after="0" w:afterAutospacing="0" w:line="560" w:lineRule="atLeast"/>
        <w:ind w:firstLine="480"/>
        <w:jc w:val="both"/>
        <w:rPr>
          <w:rFonts w:ascii="仿宋_GB2312" w:eastAsia="仿宋_GB2312" w:cs="Calibri"/>
          <w:color w:val="000000"/>
          <w:sz w:val="32"/>
          <w:szCs w:val="32"/>
        </w:rPr>
      </w:pPr>
      <w:r>
        <w:rPr>
          <w:rFonts w:ascii="仿宋_GB2312" w:eastAsia="仿宋_GB2312" w:cs="Calibri" w:hint="eastAsia"/>
          <w:color w:val="000000"/>
          <w:sz w:val="32"/>
          <w:szCs w:val="32"/>
        </w:rPr>
        <w:t>实施年限：3个月。</w:t>
      </w:r>
    </w:p>
    <w:p w14:paraId="08E6A0AA" w14:textId="77777777" w:rsidR="00CE6DD9" w:rsidRDefault="00CE6DD9"/>
    <w:sectPr w:rsidR="00CE6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0277" w14:textId="77777777" w:rsidR="00592263" w:rsidRDefault="00592263" w:rsidP="009861D9">
      <w:r>
        <w:separator/>
      </w:r>
    </w:p>
  </w:endnote>
  <w:endnote w:type="continuationSeparator" w:id="0">
    <w:p w14:paraId="4D91733E" w14:textId="77777777" w:rsidR="00592263" w:rsidRDefault="00592263" w:rsidP="0098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8450" w14:textId="77777777" w:rsidR="00592263" w:rsidRDefault="00592263" w:rsidP="009861D9">
      <w:r>
        <w:separator/>
      </w:r>
    </w:p>
  </w:footnote>
  <w:footnote w:type="continuationSeparator" w:id="0">
    <w:p w14:paraId="4528D7DB" w14:textId="77777777" w:rsidR="00592263" w:rsidRDefault="00592263" w:rsidP="00986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EE"/>
    <w:rsid w:val="00592263"/>
    <w:rsid w:val="009861D9"/>
    <w:rsid w:val="00AE46EE"/>
    <w:rsid w:val="00CE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38416A-463D-4C9C-831F-8B47A971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1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61D9"/>
    <w:rPr>
      <w:sz w:val="18"/>
      <w:szCs w:val="18"/>
    </w:rPr>
  </w:style>
  <w:style w:type="paragraph" w:styleId="a5">
    <w:name w:val="footer"/>
    <w:basedOn w:val="a"/>
    <w:link w:val="a6"/>
    <w:uiPriority w:val="99"/>
    <w:unhideWhenUsed/>
    <w:rsid w:val="009861D9"/>
    <w:pPr>
      <w:tabs>
        <w:tab w:val="center" w:pos="4153"/>
        <w:tab w:val="right" w:pos="8306"/>
      </w:tabs>
      <w:snapToGrid w:val="0"/>
      <w:jc w:val="left"/>
    </w:pPr>
    <w:rPr>
      <w:sz w:val="18"/>
      <w:szCs w:val="18"/>
    </w:rPr>
  </w:style>
  <w:style w:type="character" w:customStyle="1" w:styleId="a6">
    <w:name w:val="页脚 字符"/>
    <w:basedOn w:val="a0"/>
    <w:link w:val="a5"/>
    <w:uiPriority w:val="99"/>
    <w:rsid w:val="009861D9"/>
    <w:rPr>
      <w:sz w:val="18"/>
      <w:szCs w:val="18"/>
    </w:rPr>
  </w:style>
  <w:style w:type="paragraph" w:styleId="a7">
    <w:name w:val="Normal (Web)"/>
    <w:basedOn w:val="a"/>
    <w:uiPriority w:val="99"/>
    <w:unhideWhenUsed/>
    <w:qFormat/>
    <w:rsid w:val="009861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邴 塬皓</dc:creator>
  <cp:keywords/>
  <dc:description/>
  <cp:lastModifiedBy>邴 塬皓</cp:lastModifiedBy>
  <cp:revision>2</cp:revision>
  <dcterms:created xsi:type="dcterms:W3CDTF">2022-11-18T02:52:00Z</dcterms:created>
  <dcterms:modified xsi:type="dcterms:W3CDTF">2022-11-18T02:52:00Z</dcterms:modified>
</cp:coreProperties>
</file>