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6A2A73">
      <w:pPr>
        <w:spacing w:line="360" w:lineRule="auto"/>
        <w:jc w:val="both"/>
        <w:outlineLvl w:val="9"/>
        <w:rPr>
          <w:rFonts w:hint="default" w:ascii="Times New Roman" w:hAnsi="Times New Roman" w:eastAsia="仿宋" w:cs="Times New Roman"/>
          <w:b/>
          <w:sz w:val="32"/>
          <w:szCs w:val="32"/>
          <w:lang w:val="en-US" w:eastAsia="zh-CN"/>
        </w:rPr>
      </w:pPr>
      <w:bookmarkStart w:id="0" w:name="_Toc19364"/>
      <w:bookmarkStart w:id="1" w:name="_Toc10140"/>
      <w:bookmarkStart w:id="2" w:name="_Toc22569"/>
      <w:r>
        <w:rPr>
          <w:rFonts w:hint="default" w:ascii="Times New Roman" w:hAnsi="Times New Roman" w:eastAsia="仿宋" w:cs="Times New Roman"/>
          <w:b/>
          <w:sz w:val="32"/>
          <w:szCs w:val="32"/>
          <w:lang w:val="en-US" w:eastAsia="zh-CN"/>
        </w:rPr>
        <w:t>采购</w:t>
      </w:r>
      <w:r>
        <w:rPr>
          <w:rFonts w:hint="default" w:ascii="Times New Roman" w:hAnsi="Times New Roman" w:eastAsia="仿宋" w:cs="Times New Roman"/>
          <w:b/>
          <w:sz w:val="32"/>
          <w:szCs w:val="32"/>
        </w:rPr>
        <w:t>编号：</w:t>
      </w:r>
      <w:r>
        <w:rPr>
          <w:rFonts w:hint="default" w:ascii="Times New Roman" w:hAnsi="Times New Roman" w:eastAsia="仿宋" w:cs="Times New Roman"/>
          <w:b/>
          <w:sz w:val="32"/>
          <w:szCs w:val="32"/>
          <w:lang w:val="en-US" w:eastAsia="zh-CN"/>
        </w:rPr>
        <w:t>2025040</w:t>
      </w:r>
      <w:bookmarkEnd w:id="0"/>
      <w:bookmarkEnd w:id="1"/>
      <w:bookmarkEnd w:id="2"/>
      <w:r>
        <w:rPr>
          <w:rFonts w:hint="eastAsia" w:ascii="Times New Roman" w:eastAsia="仿宋" w:cs="Times New Roman"/>
          <w:b/>
          <w:sz w:val="32"/>
          <w:szCs w:val="32"/>
          <w:lang w:val="en-US" w:eastAsia="zh-CN"/>
        </w:rPr>
        <w:t>2</w:t>
      </w:r>
    </w:p>
    <w:p w14:paraId="3DB6D622">
      <w:pPr>
        <w:bidi w:val="0"/>
        <w:rPr>
          <w:rFonts w:hint="default" w:ascii="Times New Roman" w:hAnsi="Times New Roman" w:cs="Times New Roman"/>
        </w:rPr>
      </w:pPr>
    </w:p>
    <w:p w14:paraId="3FD95271">
      <w:pPr>
        <w:bidi w:val="0"/>
        <w:rPr>
          <w:rFonts w:hint="default" w:ascii="Times New Roman" w:hAnsi="Times New Roman" w:cs="Times New Roman"/>
        </w:rPr>
      </w:pPr>
    </w:p>
    <w:p w14:paraId="6C4F7D46">
      <w:pPr>
        <w:bidi w:val="0"/>
        <w:rPr>
          <w:rFonts w:hint="default" w:ascii="Times New Roman" w:hAnsi="Times New Roman" w:cs="Times New Roman"/>
        </w:rPr>
      </w:pPr>
    </w:p>
    <w:p w14:paraId="39A69EFA">
      <w:pPr>
        <w:spacing w:line="360" w:lineRule="auto"/>
        <w:jc w:val="center"/>
        <w:outlineLvl w:val="9"/>
        <w:rPr>
          <w:rFonts w:hint="default" w:ascii="Times New Roman" w:hAnsi="Times New Roman" w:eastAsia="仿宋" w:cs="Times New Roman"/>
          <w:b/>
          <w:sz w:val="52"/>
          <w:szCs w:val="52"/>
          <w:highlight w:val="none"/>
          <w:lang w:eastAsia="zh-CN"/>
        </w:rPr>
      </w:pPr>
      <w:bookmarkStart w:id="3" w:name="_Toc23095"/>
      <w:bookmarkStart w:id="4" w:name="_Toc25612"/>
      <w:bookmarkStart w:id="5" w:name="_Toc28375"/>
      <w:r>
        <w:rPr>
          <w:rFonts w:hint="default" w:ascii="Times New Roman" w:hAnsi="Times New Roman" w:eastAsia="方正小标宋简体" w:cs="Times New Roman"/>
          <w:b/>
          <w:w w:val="94"/>
          <w:sz w:val="52"/>
          <w:szCs w:val="52"/>
          <w:highlight w:val="none"/>
          <w:lang w:val="en-US" w:eastAsia="zh-CN"/>
        </w:rPr>
        <w:t>成都农业科技中心</w:t>
      </w:r>
      <w:r>
        <w:rPr>
          <w:rFonts w:hint="eastAsia" w:ascii="Times New Roman" w:eastAsia="方正公文小标宋" w:cs="Times New Roman"/>
          <w:b w:val="0"/>
          <w:bCs/>
          <w:w w:val="94"/>
          <w:sz w:val="52"/>
          <w:szCs w:val="52"/>
          <w:highlight w:val="none"/>
          <w:lang w:val="en-US" w:eastAsia="zh-CN"/>
        </w:rPr>
        <w:t>成果展示</w:t>
      </w:r>
      <w:r>
        <w:rPr>
          <w:rFonts w:hint="default" w:ascii="Times New Roman" w:hAnsi="Times New Roman" w:eastAsia="方正小标宋简体" w:cs="Times New Roman"/>
          <w:b/>
          <w:w w:val="94"/>
          <w:sz w:val="52"/>
          <w:szCs w:val="52"/>
          <w:highlight w:val="none"/>
          <w:lang w:val="en-US" w:eastAsia="zh-CN"/>
        </w:rPr>
        <w:t>馆</w:t>
      </w:r>
      <w:r>
        <w:rPr>
          <w:rFonts w:hint="default" w:ascii="Times New Roman" w:hAnsi="Times New Roman" w:eastAsia="方正公文小标宋" w:cs="Times New Roman"/>
          <w:b w:val="0"/>
          <w:bCs/>
          <w:w w:val="94"/>
          <w:sz w:val="52"/>
          <w:szCs w:val="52"/>
          <w:highlight w:val="none"/>
          <w:lang w:val="en-US" w:eastAsia="zh-CN"/>
        </w:rPr>
        <w:t>改造</w:t>
      </w:r>
      <w:r>
        <w:rPr>
          <w:rFonts w:hint="default" w:ascii="Times New Roman" w:hAnsi="Times New Roman" w:eastAsia="方正小标宋简体" w:cs="Times New Roman"/>
          <w:b/>
          <w:w w:val="94"/>
          <w:sz w:val="52"/>
          <w:szCs w:val="52"/>
          <w:highlight w:val="none"/>
          <w:lang w:eastAsia="zh-CN"/>
        </w:rPr>
        <w:t>项目</w:t>
      </w:r>
      <w:bookmarkEnd w:id="3"/>
      <w:bookmarkEnd w:id="4"/>
      <w:bookmarkEnd w:id="5"/>
    </w:p>
    <w:p w14:paraId="51E7C566">
      <w:pPr>
        <w:pStyle w:val="2"/>
        <w:rPr>
          <w:rFonts w:hint="default" w:ascii="Times New Roman" w:hAnsi="Times New Roman" w:cs="Times New Roman"/>
        </w:rPr>
      </w:pPr>
    </w:p>
    <w:p w14:paraId="4131618A">
      <w:pPr>
        <w:spacing w:line="360" w:lineRule="auto"/>
        <w:jc w:val="center"/>
        <w:outlineLvl w:val="9"/>
        <w:rPr>
          <w:rFonts w:hint="default" w:ascii="Times New Roman" w:hAnsi="Times New Roman" w:eastAsia="仿宋" w:cs="Times New Roman"/>
          <w:b/>
          <w:sz w:val="72"/>
          <w:szCs w:val="72"/>
        </w:rPr>
      </w:pPr>
      <w:bookmarkStart w:id="6" w:name="_Toc24378"/>
      <w:bookmarkStart w:id="7" w:name="_Toc6723"/>
      <w:bookmarkStart w:id="8" w:name="_Toc2677"/>
      <w:r>
        <w:rPr>
          <w:rFonts w:hint="default" w:ascii="Times New Roman" w:hAnsi="Times New Roman" w:eastAsia="仿宋" w:cs="Times New Roman"/>
          <w:b/>
          <w:sz w:val="72"/>
          <w:szCs w:val="72"/>
        </w:rPr>
        <w:t>比</w:t>
      </w:r>
      <w:bookmarkEnd w:id="6"/>
      <w:bookmarkEnd w:id="7"/>
      <w:bookmarkEnd w:id="8"/>
    </w:p>
    <w:p w14:paraId="600E9F4E">
      <w:pPr>
        <w:spacing w:line="360" w:lineRule="auto"/>
        <w:jc w:val="center"/>
        <w:outlineLvl w:val="9"/>
        <w:rPr>
          <w:rFonts w:hint="default" w:ascii="Times New Roman" w:hAnsi="Times New Roman" w:eastAsia="仿宋" w:cs="Times New Roman"/>
          <w:b/>
          <w:sz w:val="72"/>
          <w:szCs w:val="72"/>
        </w:rPr>
      </w:pPr>
      <w:bookmarkStart w:id="9" w:name="_Toc29599"/>
      <w:bookmarkStart w:id="10" w:name="_Toc27166"/>
      <w:bookmarkStart w:id="11" w:name="_Toc15298"/>
      <w:r>
        <w:rPr>
          <w:rFonts w:hint="default" w:ascii="Times New Roman" w:hAnsi="Times New Roman" w:eastAsia="仿宋" w:cs="Times New Roman"/>
          <w:b/>
          <w:sz w:val="72"/>
          <w:szCs w:val="72"/>
        </w:rPr>
        <w:t>选</w:t>
      </w:r>
      <w:bookmarkEnd w:id="9"/>
      <w:bookmarkEnd w:id="10"/>
      <w:bookmarkEnd w:id="11"/>
    </w:p>
    <w:p w14:paraId="5B9ED013">
      <w:pPr>
        <w:spacing w:line="360" w:lineRule="auto"/>
        <w:jc w:val="center"/>
        <w:outlineLvl w:val="9"/>
        <w:rPr>
          <w:rFonts w:hint="default" w:ascii="Times New Roman" w:hAnsi="Times New Roman" w:eastAsia="仿宋" w:cs="Times New Roman"/>
          <w:b/>
          <w:sz w:val="72"/>
          <w:szCs w:val="72"/>
        </w:rPr>
      </w:pPr>
      <w:bookmarkStart w:id="12" w:name="_Toc24648"/>
      <w:bookmarkStart w:id="13" w:name="_Toc15702"/>
      <w:bookmarkStart w:id="14" w:name="_Toc911"/>
      <w:r>
        <w:rPr>
          <w:rFonts w:hint="default" w:ascii="Times New Roman" w:hAnsi="Times New Roman" w:eastAsia="仿宋" w:cs="Times New Roman"/>
          <w:b/>
          <w:sz w:val="72"/>
          <w:szCs w:val="72"/>
        </w:rPr>
        <w:t>文</w:t>
      </w:r>
      <w:bookmarkEnd w:id="12"/>
      <w:bookmarkEnd w:id="13"/>
      <w:bookmarkEnd w:id="14"/>
    </w:p>
    <w:p w14:paraId="3B77C38B">
      <w:pPr>
        <w:tabs>
          <w:tab w:val="left" w:pos="3960"/>
        </w:tabs>
        <w:spacing w:line="360" w:lineRule="auto"/>
        <w:jc w:val="center"/>
        <w:outlineLvl w:val="9"/>
        <w:rPr>
          <w:rFonts w:hint="default" w:ascii="Times New Roman" w:hAnsi="Times New Roman" w:eastAsia="仿宋" w:cs="Times New Roman"/>
          <w:b/>
          <w:sz w:val="72"/>
          <w:szCs w:val="72"/>
        </w:rPr>
      </w:pPr>
      <w:bookmarkStart w:id="15" w:name="_Toc30793"/>
      <w:bookmarkStart w:id="16" w:name="_Toc16755"/>
      <w:bookmarkStart w:id="17" w:name="_Toc29630"/>
      <w:r>
        <w:rPr>
          <w:rFonts w:hint="default" w:ascii="Times New Roman" w:hAnsi="Times New Roman" w:eastAsia="仿宋" w:cs="Times New Roman"/>
          <w:b/>
          <w:sz w:val="72"/>
          <w:szCs w:val="72"/>
        </w:rPr>
        <w:t>件</w:t>
      </w:r>
      <w:bookmarkEnd w:id="15"/>
      <w:bookmarkEnd w:id="16"/>
      <w:bookmarkEnd w:id="17"/>
    </w:p>
    <w:p w14:paraId="489ED257">
      <w:pPr>
        <w:spacing w:line="360" w:lineRule="auto"/>
        <w:jc w:val="center"/>
        <w:rPr>
          <w:rFonts w:hint="default" w:ascii="Times New Roman" w:hAnsi="Times New Roman" w:eastAsia="仿宋" w:cs="Times New Roman"/>
          <w:b/>
          <w:sz w:val="32"/>
          <w:szCs w:val="32"/>
        </w:rPr>
      </w:pPr>
    </w:p>
    <w:p w14:paraId="7C1F7EEB">
      <w:pPr>
        <w:pStyle w:val="2"/>
        <w:rPr>
          <w:rFonts w:hint="default" w:ascii="Times New Roman" w:hAnsi="Times New Roman" w:cs="Times New Roman"/>
        </w:rPr>
      </w:pPr>
    </w:p>
    <w:p w14:paraId="135100CB">
      <w:pPr>
        <w:spacing w:line="360" w:lineRule="auto"/>
        <w:jc w:val="center"/>
        <w:rPr>
          <w:rFonts w:hint="default" w:ascii="Times New Roman" w:hAnsi="Times New Roman" w:eastAsia="仿宋" w:cs="Times New Roman"/>
          <w:b/>
          <w:sz w:val="32"/>
          <w:szCs w:val="32"/>
          <w:lang w:eastAsia="zh-CN"/>
        </w:rPr>
      </w:pPr>
      <w:bookmarkStart w:id="18" w:name="PO_代理公司_1"/>
      <w:r>
        <w:rPr>
          <w:rFonts w:hint="default" w:ascii="Times New Roman" w:hAnsi="Times New Roman" w:eastAsia="仿宋" w:cs="Times New Roman"/>
          <w:b/>
          <w:sz w:val="32"/>
          <w:szCs w:val="32"/>
          <w:lang w:val="en-US" w:eastAsia="zh-CN"/>
        </w:rPr>
        <w:t>采购单位名称：</w:t>
      </w:r>
      <w:bookmarkEnd w:id="18"/>
      <w:bookmarkStart w:id="19" w:name="_Toc21243"/>
      <w:bookmarkStart w:id="20" w:name="_Toc28550"/>
      <w:bookmarkStart w:id="21" w:name="_Toc10012"/>
      <w:r>
        <w:rPr>
          <w:rFonts w:hint="default" w:ascii="Times New Roman" w:hAnsi="Times New Roman" w:eastAsia="仿宋" w:cs="Times New Roman"/>
          <w:b/>
          <w:sz w:val="32"/>
          <w:szCs w:val="32"/>
          <w:lang w:eastAsia="zh-CN"/>
        </w:rPr>
        <w:t>成都农业科技中心</w:t>
      </w:r>
      <w:bookmarkEnd w:id="19"/>
      <w:bookmarkEnd w:id="20"/>
      <w:bookmarkEnd w:id="21"/>
    </w:p>
    <w:p w14:paraId="16DABB5B">
      <w:pPr>
        <w:spacing w:line="360" w:lineRule="auto"/>
        <w:jc w:val="center"/>
        <w:rPr>
          <w:rFonts w:hint="default" w:ascii="Times New Roman" w:hAnsi="Times New Roman" w:eastAsia="仿宋" w:cs="Times New Roman"/>
          <w:b/>
          <w:sz w:val="32"/>
        </w:rPr>
        <w:sectPr>
          <w:headerReference r:id="rId3" w:type="default"/>
          <w:footerReference r:id="rId4" w:type="default"/>
          <w:footerReference r:id="rId5" w:type="even"/>
          <w:pgSz w:w="11907" w:h="16840"/>
          <w:pgMar w:top="1418" w:right="1514" w:bottom="1418" w:left="1985"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default" w:ascii="Times New Roman" w:hAnsi="Times New Roman" w:eastAsia="仿宋" w:cs="Times New Roman"/>
          <w:b/>
          <w:sz w:val="32"/>
          <w:szCs w:val="32"/>
        </w:rPr>
        <w:t>二O二</w:t>
      </w:r>
      <w:r>
        <w:rPr>
          <w:rFonts w:hint="default" w:ascii="Times New Roman" w:hAnsi="Times New Roman" w:eastAsia="仿宋" w:cs="Times New Roman"/>
          <w:b/>
          <w:sz w:val="32"/>
          <w:szCs w:val="32"/>
          <w:lang w:val="en-US" w:eastAsia="zh-CN"/>
        </w:rPr>
        <w:t>五</w:t>
      </w:r>
      <w:r>
        <w:rPr>
          <w:rFonts w:hint="default" w:ascii="Times New Roman" w:hAnsi="Times New Roman" w:eastAsia="仿宋" w:cs="Times New Roman"/>
          <w:b/>
          <w:sz w:val="32"/>
          <w:szCs w:val="32"/>
        </w:rPr>
        <w:t>年</w:t>
      </w:r>
      <w:r>
        <w:rPr>
          <w:rFonts w:hint="default" w:ascii="Times New Roman" w:hAnsi="Times New Roman" w:eastAsia="仿宋" w:cs="Times New Roman"/>
          <w:b/>
          <w:sz w:val="32"/>
          <w:szCs w:val="32"/>
          <w:lang w:val="en-US" w:eastAsia="zh-CN"/>
        </w:rPr>
        <w:t>四</w:t>
      </w:r>
      <w:r>
        <w:rPr>
          <w:rFonts w:hint="default" w:ascii="Times New Roman" w:hAnsi="Times New Roman" w:eastAsia="仿宋" w:cs="Times New Roman"/>
          <w:b/>
          <w:sz w:val="32"/>
          <w:szCs w:val="32"/>
        </w:rPr>
        <w:t>月</w:t>
      </w:r>
    </w:p>
    <w:p w14:paraId="6365117F">
      <w:pPr>
        <w:pStyle w:val="26"/>
        <w:tabs>
          <w:tab w:val="right" w:leader="dot" w:pos="8307"/>
        </w:tabs>
        <w:jc w:val="center"/>
        <w:rPr>
          <w:rFonts w:hint="eastAsia" w:ascii="方正小标宋简体" w:hAnsi="方正小标宋简体" w:eastAsia="方正小标宋简体" w:cs="方正小标宋简体"/>
          <w:bCs w:val="0"/>
          <w:sz w:val="44"/>
          <w:szCs w:val="44"/>
          <w:lang w:val="en-US" w:eastAsia="zh-CN" w:bidi="ar-SA"/>
        </w:rPr>
      </w:pPr>
      <w:r>
        <w:rPr>
          <w:rFonts w:hint="eastAsia" w:ascii="方正小标宋简体" w:hAnsi="方正小标宋简体" w:eastAsia="方正小标宋简体" w:cs="方正小标宋简体"/>
          <w:bCs w:val="0"/>
          <w:sz w:val="44"/>
          <w:szCs w:val="44"/>
          <w:lang w:val="en-US" w:eastAsia="zh-CN" w:bidi="ar-SA"/>
        </w:rPr>
        <w:t>目录</w:t>
      </w:r>
    </w:p>
    <w:p w14:paraId="78910F60">
      <w:pPr>
        <w:pStyle w:val="26"/>
        <w:tabs>
          <w:tab w:val="right" w:leader="dot" w:pos="8307"/>
        </w:tabs>
        <w:rPr>
          <w:rFonts w:hint="default" w:ascii="Times New Roman" w:hAnsi="Times New Roman" w:eastAsia="方正公文小标宋" w:cs="Times New Roman"/>
          <w:bCs w:val="0"/>
          <w:szCs w:val="32"/>
          <w:lang w:val="en-US" w:eastAsia="zh-CN" w:bidi="ar-SA"/>
        </w:rPr>
      </w:pPr>
    </w:p>
    <w:p w14:paraId="08F63707">
      <w:pPr>
        <w:pStyle w:val="26"/>
        <w:tabs>
          <w:tab w:val="right" w:leader="dot" w:pos="8307"/>
        </w:tabs>
        <w:rPr>
          <w:rFonts w:hint="default" w:ascii="Times New Roman" w:hAnsi="Times New Roman" w:eastAsia="方正公文小标宋" w:cs="Times New Roman"/>
          <w:bCs w:val="0"/>
          <w:szCs w:val="32"/>
          <w:lang w:val="en-US" w:eastAsia="zh-CN" w:bidi="ar-SA"/>
        </w:rPr>
      </w:pPr>
    </w:p>
    <w:p w14:paraId="08FB361C">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TOC \o "1-1" \h \u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_Toc28380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bCs w:val="0"/>
          <w:sz w:val="28"/>
          <w:szCs w:val="24"/>
        </w:rPr>
        <w:t>第一章</w:t>
      </w:r>
      <w:r>
        <w:rPr>
          <w:rFonts w:hint="eastAsia" w:ascii="黑体" w:hAnsi="黑体" w:eastAsia="黑体" w:cs="黑体"/>
          <w:bCs w:val="0"/>
          <w:sz w:val="28"/>
          <w:szCs w:val="24"/>
          <w:lang w:val="en-US" w:eastAsia="zh-CN"/>
        </w:rPr>
        <w:t xml:space="preserve">  </w:t>
      </w:r>
      <w:r>
        <w:rPr>
          <w:rFonts w:hint="eastAsia" w:ascii="黑体" w:hAnsi="黑体" w:eastAsia="黑体" w:cs="黑体"/>
          <w:bCs/>
          <w:kern w:val="44"/>
          <w:sz w:val="28"/>
          <w:szCs w:val="24"/>
          <w:lang w:eastAsia="zh-CN"/>
        </w:rPr>
        <w:t>比选</w:t>
      </w:r>
      <w:r>
        <w:rPr>
          <w:rFonts w:hint="eastAsia" w:ascii="黑体" w:hAnsi="黑体" w:eastAsia="黑体" w:cs="黑体"/>
          <w:bCs/>
          <w:kern w:val="44"/>
          <w:sz w:val="28"/>
          <w:szCs w:val="24"/>
          <w:lang w:val="en-US" w:eastAsia="zh-CN"/>
        </w:rPr>
        <w:t>邀请</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_Toc28380 \h </w:instrText>
      </w:r>
      <w:r>
        <w:rPr>
          <w:rFonts w:hint="eastAsia" w:ascii="黑体" w:hAnsi="黑体" w:eastAsia="黑体" w:cs="黑体"/>
          <w:sz w:val="28"/>
          <w:szCs w:val="16"/>
        </w:rPr>
        <w:fldChar w:fldCharType="separate"/>
      </w:r>
      <w:r>
        <w:rPr>
          <w:rFonts w:hint="eastAsia" w:ascii="黑体" w:hAnsi="黑体" w:eastAsia="黑体" w:cs="黑体"/>
          <w:sz w:val="28"/>
          <w:szCs w:val="16"/>
        </w:rPr>
        <w:t>2</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5FC272C7">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_Toc21383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24"/>
        </w:rPr>
        <w:t>第二章</w:t>
      </w:r>
      <w:r>
        <w:rPr>
          <w:rFonts w:hint="eastAsia" w:ascii="黑体" w:hAnsi="黑体" w:eastAsia="黑体" w:cs="黑体"/>
          <w:sz w:val="28"/>
          <w:szCs w:val="24"/>
          <w:lang w:val="en-US" w:eastAsia="zh-CN"/>
        </w:rPr>
        <w:t xml:space="preserve"> </w:t>
      </w:r>
      <w:r>
        <w:rPr>
          <w:rFonts w:hint="eastAsia" w:ascii="黑体" w:hAnsi="黑体" w:eastAsia="黑体" w:cs="黑体"/>
          <w:sz w:val="28"/>
          <w:szCs w:val="24"/>
        </w:rPr>
        <w:t xml:space="preserve"> 比选须知</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_Toc21383 \h </w:instrText>
      </w:r>
      <w:r>
        <w:rPr>
          <w:rFonts w:hint="eastAsia" w:ascii="黑体" w:hAnsi="黑体" w:eastAsia="黑体" w:cs="黑体"/>
          <w:sz w:val="28"/>
          <w:szCs w:val="16"/>
        </w:rPr>
        <w:fldChar w:fldCharType="separate"/>
      </w:r>
      <w:r>
        <w:rPr>
          <w:rFonts w:hint="eastAsia" w:ascii="黑体" w:hAnsi="黑体" w:eastAsia="黑体" w:cs="黑体"/>
          <w:sz w:val="28"/>
          <w:szCs w:val="16"/>
        </w:rPr>
        <w:t>4</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3029F6E5">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_Toc21934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三</w:t>
      </w:r>
      <w:r>
        <w:rPr>
          <w:rFonts w:hint="eastAsia" w:ascii="黑体" w:hAnsi="黑体" w:eastAsia="黑体" w:cs="黑体"/>
          <w:sz w:val="28"/>
          <w:szCs w:val="16"/>
        </w:rPr>
        <w:t>章</w:t>
      </w:r>
      <w:r>
        <w:rPr>
          <w:rFonts w:hint="eastAsia" w:ascii="黑体" w:hAnsi="黑体" w:eastAsia="黑体" w:cs="黑体"/>
          <w:sz w:val="28"/>
          <w:szCs w:val="16"/>
          <w:lang w:val="en-US" w:eastAsia="zh-CN"/>
        </w:rPr>
        <w:t xml:space="preserve">  </w:t>
      </w:r>
      <w:r>
        <w:rPr>
          <w:rFonts w:hint="eastAsia" w:ascii="黑体" w:hAnsi="黑体" w:eastAsia="黑体" w:cs="黑体"/>
          <w:sz w:val="28"/>
          <w:szCs w:val="16"/>
        </w:rPr>
        <w:t>资格证明文件</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_Toc21934 \h </w:instrText>
      </w:r>
      <w:r>
        <w:rPr>
          <w:rFonts w:hint="eastAsia" w:ascii="黑体" w:hAnsi="黑体" w:eastAsia="黑体" w:cs="黑体"/>
          <w:sz w:val="28"/>
          <w:szCs w:val="16"/>
        </w:rPr>
        <w:fldChar w:fldCharType="separate"/>
      </w:r>
      <w:r>
        <w:rPr>
          <w:rFonts w:hint="eastAsia" w:ascii="黑体" w:hAnsi="黑体" w:eastAsia="黑体" w:cs="黑体"/>
          <w:sz w:val="28"/>
          <w:szCs w:val="16"/>
        </w:rPr>
        <w:t>15</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2953E3BC">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_Toc8881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四</w:t>
      </w:r>
      <w:r>
        <w:rPr>
          <w:rFonts w:hint="eastAsia" w:ascii="黑体" w:hAnsi="黑体" w:eastAsia="黑体" w:cs="黑体"/>
          <w:sz w:val="28"/>
          <w:szCs w:val="16"/>
        </w:rPr>
        <w:t xml:space="preserve">章  </w:t>
      </w:r>
      <w:r>
        <w:rPr>
          <w:rFonts w:hint="eastAsia" w:ascii="黑体" w:hAnsi="黑体" w:eastAsia="黑体" w:cs="黑体"/>
          <w:sz w:val="28"/>
          <w:szCs w:val="16"/>
          <w:lang w:val="en-US" w:eastAsia="zh-CN"/>
        </w:rPr>
        <w:t>比选</w:t>
      </w:r>
      <w:r>
        <w:rPr>
          <w:rFonts w:hint="eastAsia" w:ascii="黑体" w:hAnsi="黑体" w:eastAsia="黑体" w:cs="黑体"/>
          <w:sz w:val="28"/>
          <w:szCs w:val="16"/>
        </w:rPr>
        <w:t>项目技术、服务、</w:t>
      </w:r>
      <w:r>
        <w:rPr>
          <w:rFonts w:hint="eastAsia" w:ascii="黑体" w:hAnsi="黑体" w:eastAsia="黑体" w:cs="黑体"/>
          <w:sz w:val="28"/>
          <w:szCs w:val="16"/>
          <w:lang w:val="en-US" w:eastAsia="zh-CN"/>
        </w:rPr>
        <w:t>比选</w:t>
      </w:r>
      <w:r>
        <w:rPr>
          <w:rFonts w:hint="eastAsia" w:ascii="黑体" w:hAnsi="黑体" w:eastAsia="黑体" w:cs="黑体"/>
          <w:sz w:val="28"/>
          <w:szCs w:val="16"/>
        </w:rPr>
        <w:t>合同内容条款及其他</w:t>
      </w:r>
      <w:r>
        <w:rPr>
          <w:rFonts w:hint="eastAsia" w:ascii="黑体" w:hAnsi="黑体" w:eastAsia="黑体" w:cs="黑体"/>
          <w:sz w:val="28"/>
          <w:szCs w:val="16"/>
        </w:rPr>
        <w:tab/>
      </w:r>
      <w:r>
        <w:rPr>
          <w:rFonts w:hint="eastAsia" w:ascii="黑体" w:hAnsi="黑体" w:eastAsia="黑体" w:cs="黑体"/>
          <w:bCs w:val="0"/>
          <w:sz w:val="28"/>
          <w:szCs w:val="24"/>
          <w:lang w:val="en-US" w:eastAsia="zh-CN" w:bidi="ar-SA"/>
        </w:rPr>
        <w:fldChar w:fldCharType="end"/>
      </w:r>
    </w:p>
    <w:p w14:paraId="534128A3">
      <w:pPr>
        <w:pStyle w:val="26"/>
        <w:keepNext w:val="0"/>
        <w:keepLines w:val="0"/>
        <w:pageBreakBefore w:val="0"/>
        <w:tabs>
          <w:tab w:val="right" w:leader="dot" w:pos="8307"/>
        </w:tabs>
        <w:kinsoku/>
        <w:wordWrap/>
        <w:overflowPunct/>
        <w:topLinePunct w:val="0"/>
        <w:autoSpaceDE/>
        <w:autoSpaceDN/>
        <w:bidi w:val="0"/>
        <w:adjustRightInd/>
        <w:snapToGrid/>
        <w:spacing w:line="560" w:lineRule="exact"/>
        <w:ind w:firstLine="1120" w:firstLineChars="400"/>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_Toc21876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商务要求</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_Toc21876 \h </w:instrText>
      </w:r>
      <w:r>
        <w:rPr>
          <w:rFonts w:hint="eastAsia" w:ascii="黑体" w:hAnsi="黑体" w:eastAsia="黑体" w:cs="黑体"/>
          <w:sz w:val="28"/>
          <w:szCs w:val="16"/>
        </w:rPr>
        <w:fldChar w:fldCharType="separate"/>
      </w:r>
      <w:r>
        <w:rPr>
          <w:rFonts w:hint="eastAsia" w:ascii="黑体" w:hAnsi="黑体" w:eastAsia="黑体" w:cs="黑体"/>
          <w:sz w:val="28"/>
          <w:szCs w:val="16"/>
        </w:rPr>
        <w:t>17</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5DDC0328">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_Toc29500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五</w:t>
      </w:r>
      <w:r>
        <w:rPr>
          <w:rFonts w:hint="eastAsia" w:ascii="黑体" w:hAnsi="黑体" w:eastAsia="黑体" w:cs="黑体"/>
          <w:sz w:val="28"/>
          <w:szCs w:val="16"/>
        </w:rPr>
        <w:t>章</w:t>
      </w:r>
      <w:r>
        <w:rPr>
          <w:rFonts w:hint="eastAsia" w:ascii="黑体" w:hAnsi="黑体" w:eastAsia="黑体" w:cs="黑体"/>
          <w:sz w:val="28"/>
          <w:szCs w:val="16"/>
          <w:lang w:val="en-US" w:eastAsia="zh-CN"/>
        </w:rPr>
        <w:t xml:space="preserve">  </w:t>
      </w:r>
      <w:r>
        <w:rPr>
          <w:rFonts w:hint="eastAsia" w:ascii="黑体" w:hAnsi="黑体" w:eastAsia="黑体" w:cs="黑体"/>
          <w:sz w:val="28"/>
          <w:szCs w:val="16"/>
        </w:rPr>
        <w:t>响应文件格式</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_Toc29500 \h </w:instrText>
      </w:r>
      <w:r>
        <w:rPr>
          <w:rFonts w:hint="eastAsia" w:ascii="黑体" w:hAnsi="黑体" w:eastAsia="黑体" w:cs="黑体"/>
          <w:sz w:val="28"/>
          <w:szCs w:val="16"/>
        </w:rPr>
        <w:fldChar w:fldCharType="separate"/>
      </w:r>
      <w:r>
        <w:rPr>
          <w:rFonts w:hint="eastAsia" w:ascii="黑体" w:hAnsi="黑体" w:eastAsia="黑体" w:cs="黑体"/>
          <w:sz w:val="28"/>
          <w:szCs w:val="16"/>
        </w:rPr>
        <w:t>19</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19379428">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_Toc11614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六</w:t>
      </w:r>
      <w:r>
        <w:rPr>
          <w:rFonts w:hint="eastAsia" w:ascii="黑体" w:hAnsi="黑体" w:eastAsia="黑体" w:cs="黑体"/>
          <w:sz w:val="28"/>
          <w:szCs w:val="16"/>
        </w:rPr>
        <w:t xml:space="preserve">章  </w:t>
      </w:r>
      <w:r>
        <w:rPr>
          <w:rFonts w:hint="eastAsia" w:ascii="黑体" w:hAnsi="黑体" w:eastAsia="黑体" w:cs="黑体"/>
          <w:sz w:val="28"/>
          <w:szCs w:val="16"/>
          <w:lang w:val="en-US" w:eastAsia="zh-CN"/>
        </w:rPr>
        <w:t>比选</w:t>
      </w:r>
      <w:r>
        <w:rPr>
          <w:rFonts w:hint="eastAsia" w:ascii="黑体" w:hAnsi="黑体" w:eastAsia="黑体" w:cs="黑体"/>
          <w:sz w:val="28"/>
          <w:szCs w:val="16"/>
        </w:rPr>
        <w:t>方法</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_Toc11614 \h </w:instrText>
      </w:r>
      <w:r>
        <w:rPr>
          <w:rFonts w:hint="eastAsia" w:ascii="黑体" w:hAnsi="黑体" w:eastAsia="黑体" w:cs="黑体"/>
          <w:sz w:val="28"/>
          <w:szCs w:val="16"/>
        </w:rPr>
        <w:fldChar w:fldCharType="separate"/>
      </w:r>
      <w:r>
        <w:rPr>
          <w:rFonts w:hint="eastAsia" w:ascii="黑体" w:hAnsi="黑体" w:eastAsia="黑体" w:cs="黑体"/>
          <w:sz w:val="28"/>
          <w:szCs w:val="16"/>
        </w:rPr>
        <w:t>26</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3BDCADE2">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_Toc25463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七</w:t>
      </w:r>
      <w:r>
        <w:rPr>
          <w:rFonts w:hint="eastAsia" w:ascii="黑体" w:hAnsi="黑体" w:eastAsia="黑体" w:cs="黑体"/>
          <w:sz w:val="28"/>
          <w:szCs w:val="16"/>
        </w:rPr>
        <w:t>章  采购合同（草案）</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_Toc25463 \h </w:instrText>
      </w:r>
      <w:r>
        <w:rPr>
          <w:rFonts w:hint="eastAsia" w:ascii="黑体" w:hAnsi="黑体" w:eastAsia="黑体" w:cs="黑体"/>
          <w:sz w:val="28"/>
          <w:szCs w:val="16"/>
        </w:rPr>
        <w:fldChar w:fldCharType="separate"/>
      </w:r>
      <w:r>
        <w:rPr>
          <w:rFonts w:hint="eastAsia" w:ascii="黑体" w:hAnsi="黑体" w:eastAsia="黑体" w:cs="黑体"/>
          <w:sz w:val="28"/>
          <w:szCs w:val="16"/>
        </w:rPr>
        <w:t>29</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55A139CA">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hint="default" w:ascii="Times New Roman" w:hAnsi="Times New Roman" w:eastAsia="方正公文小标宋" w:cs="Times New Roman"/>
          <w:bCs w:val="0"/>
          <w:szCs w:val="32"/>
          <w:lang w:val="en-US" w:eastAsia="zh-CN" w:bidi="ar-SA"/>
        </w:rPr>
      </w:pPr>
      <w:r>
        <w:rPr>
          <w:rFonts w:hint="eastAsia" w:ascii="黑体" w:hAnsi="黑体" w:eastAsia="黑体" w:cs="黑体"/>
          <w:bCs w:val="0"/>
          <w:sz w:val="28"/>
          <w:szCs w:val="24"/>
          <w:lang w:val="en-US" w:eastAsia="zh-CN" w:bidi="ar-SA"/>
        </w:rPr>
        <w:fldChar w:fldCharType="end"/>
      </w:r>
    </w:p>
    <w:p w14:paraId="2E055F43">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方正公文小标宋" w:cs="Times New Roman"/>
          <w:bCs w:val="0"/>
          <w:szCs w:val="32"/>
          <w:lang w:val="en-US" w:eastAsia="zh-CN" w:bidi="ar-SA"/>
        </w:rPr>
      </w:pPr>
      <w:r>
        <w:rPr>
          <w:rFonts w:hint="default" w:ascii="Times New Roman" w:hAnsi="Times New Roman" w:eastAsia="方正公文小标宋" w:cs="Times New Roman"/>
          <w:bCs w:val="0"/>
          <w:szCs w:val="32"/>
          <w:lang w:val="en-US" w:eastAsia="zh-CN" w:bidi="ar-SA"/>
        </w:rPr>
        <w:br w:type="page"/>
      </w:r>
    </w:p>
    <w:p w14:paraId="6F9C9FD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方正公文小标宋" w:cs="Times New Roman"/>
          <w:bCs w:val="0"/>
          <w:szCs w:val="32"/>
          <w:lang w:val="en-US" w:eastAsia="zh-CN" w:bidi="ar-SA"/>
        </w:rPr>
      </w:pPr>
    </w:p>
    <w:p w14:paraId="31026C71">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hint="default" w:ascii="Times New Roman" w:hAnsi="Times New Roman" w:eastAsia="方正公文小标宋" w:cs="Times New Roman"/>
          <w:b w:val="0"/>
          <w:bCs/>
          <w:sz w:val="32"/>
          <w:szCs w:val="32"/>
          <w:lang w:eastAsia="zh-CN"/>
        </w:rPr>
      </w:pPr>
      <w:bookmarkStart w:id="22" w:name="_Toc28380"/>
      <w:bookmarkStart w:id="23" w:name="_Toc23420"/>
      <w:bookmarkStart w:id="24" w:name="_Toc5682"/>
      <w:bookmarkStart w:id="25" w:name="_Toc12593"/>
      <w:bookmarkStart w:id="26" w:name="_Toc19926"/>
      <w:bookmarkStart w:id="27" w:name="_Toc25658"/>
      <w:r>
        <w:rPr>
          <w:rFonts w:hint="default" w:ascii="Times New Roman" w:hAnsi="Times New Roman" w:eastAsia="方正公文小标宋" w:cs="Times New Roman"/>
          <w:bCs w:val="0"/>
          <w:sz w:val="32"/>
          <w:szCs w:val="32"/>
        </w:rPr>
        <w:t>第一章</w:t>
      </w:r>
      <w:r>
        <w:rPr>
          <w:rFonts w:hint="default" w:ascii="Times New Roman" w:hAnsi="Times New Roman" w:eastAsia="方正公文小标宋" w:cs="Times New Roman"/>
          <w:bCs w:val="0"/>
          <w:sz w:val="32"/>
          <w:szCs w:val="32"/>
          <w:lang w:val="en-US" w:eastAsia="zh-CN"/>
        </w:rPr>
        <w:t xml:space="preserve">  </w:t>
      </w:r>
      <w:r>
        <w:rPr>
          <w:rFonts w:hint="default" w:ascii="Times New Roman" w:hAnsi="Times New Roman" w:eastAsia="方正公文小标宋" w:cs="Times New Roman"/>
          <w:b w:val="0"/>
          <w:bCs/>
          <w:kern w:val="44"/>
          <w:sz w:val="32"/>
          <w:szCs w:val="32"/>
          <w:lang w:eastAsia="zh-CN"/>
        </w:rPr>
        <w:t>比选</w:t>
      </w:r>
      <w:r>
        <w:rPr>
          <w:rFonts w:hint="default" w:ascii="Times New Roman" w:hAnsi="Times New Roman" w:eastAsia="方正公文小标宋" w:cs="Times New Roman"/>
          <w:b w:val="0"/>
          <w:bCs/>
          <w:kern w:val="44"/>
          <w:sz w:val="32"/>
          <w:szCs w:val="32"/>
          <w:lang w:val="en-US" w:eastAsia="zh-CN"/>
        </w:rPr>
        <w:t>邀请</w:t>
      </w:r>
      <w:bookmarkEnd w:id="22"/>
      <w:bookmarkEnd w:id="23"/>
      <w:bookmarkEnd w:id="24"/>
      <w:bookmarkEnd w:id="25"/>
      <w:bookmarkEnd w:id="26"/>
      <w:bookmarkEnd w:id="27"/>
    </w:p>
    <w:p w14:paraId="08F4CFCD">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sz w:val="24"/>
          <w:szCs w:val="20"/>
        </w:rPr>
      </w:pPr>
      <w:r>
        <w:rPr>
          <w:rFonts w:hint="default" w:ascii="Times New Roman" w:hAnsi="Times New Roman" w:eastAsia="仿宋_GB2312" w:cs="Times New Roman"/>
          <w:sz w:val="24"/>
          <w:szCs w:val="20"/>
          <w:u w:val="single"/>
        </w:rPr>
        <w:t>成都农业科技中心</w:t>
      </w:r>
      <w:r>
        <w:rPr>
          <w:rFonts w:hint="default" w:ascii="Times New Roman" w:hAnsi="Times New Roman" w:eastAsia="仿宋_GB2312" w:cs="Times New Roman"/>
          <w:sz w:val="24"/>
          <w:szCs w:val="20"/>
        </w:rPr>
        <w:t>拟对</w:t>
      </w:r>
      <w:r>
        <w:rPr>
          <w:rFonts w:hint="default" w:ascii="Times New Roman" w:hAnsi="Times New Roman" w:eastAsia="仿宋_GB2312" w:cs="Times New Roman"/>
          <w:sz w:val="24"/>
          <w:szCs w:val="20"/>
          <w:u w:val="single"/>
          <w:lang w:val="en-US" w:eastAsia="zh-CN"/>
        </w:rPr>
        <w:t>成都农业科技中心成果展示馆改造项目</w:t>
      </w:r>
      <w:r>
        <w:rPr>
          <w:rFonts w:hint="default" w:ascii="Times New Roman" w:hAnsi="Times New Roman" w:eastAsia="仿宋_GB2312" w:cs="Times New Roman"/>
          <w:sz w:val="24"/>
          <w:szCs w:val="20"/>
          <w:u w:val="none"/>
          <w:lang w:val="en-US" w:eastAsia="zh-CN"/>
        </w:rPr>
        <w:t>采用</w:t>
      </w:r>
      <w:r>
        <w:rPr>
          <w:rFonts w:hint="default" w:ascii="Times New Roman" w:hAnsi="Times New Roman" w:eastAsia="仿宋_GB2312" w:cs="Times New Roman"/>
          <w:sz w:val="24"/>
          <w:szCs w:val="20"/>
        </w:rPr>
        <w:t>公开比选</w:t>
      </w:r>
      <w:r>
        <w:rPr>
          <w:rFonts w:hint="default" w:ascii="Times New Roman" w:hAnsi="Times New Roman" w:eastAsia="仿宋_GB2312" w:cs="Times New Roman"/>
          <w:sz w:val="24"/>
          <w:szCs w:val="20"/>
          <w:lang w:val="en-US" w:eastAsia="zh-CN"/>
        </w:rPr>
        <w:t>方式进行采购</w:t>
      </w:r>
      <w:r>
        <w:rPr>
          <w:rFonts w:hint="default" w:ascii="Times New Roman" w:hAnsi="Times New Roman" w:eastAsia="仿宋_GB2312" w:cs="Times New Roman"/>
          <w:sz w:val="24"/>
          <w:szCs w:val="20"/>
        </w:rPr>
        <w:t>，特邀请符合本次采购要求的供应商参加比选。</w:t>
      </w:r>
    </w:p>
    <w:p w14:paraId="25460EFA">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28" w:name="_Toc15745"/>
      <w:bookmarkStart w:id="29" w:name="_Toc1211"/>
      <w:bookmarkStart w:id="30" w:name="_Toc22167"/>
      <w:bookmarkStart w:id="31" w:name="_Toc8752"/>
      <w:bookmarkStart w:id="32" w:name="_Toc28717"/>
      <w:r>
        <w:rPr>
          <w:rFonts w:hint="default" w:ascii="Times New Roman" w:hAnsi="Times New Roman" w:eastAsia="黑体" w:cs="Times New Roman"/>
          <w:b w:val="0"/>
          <w:bCs w:val="0"/>
          <w:sz w:val="24"/>
          <w:szCs w:val="20"/>
          <w:lang w:val="en-US" w:eastAsia="zh-CN"/>
        </w:rPr>
        <w:t>一、采购项目基本情况</w:t>
      </w:r>
      <w:bookmarkEnd w:id="28"/>
      <w:bookmarkEnd w:id="29"/>
      <w:bookmarkEnd w:id="30"/>
      <w:bookmarkEnd w:id="31"/>
      <w:bookmarkEnd w:id="32"/>
    </w:p>
    <w:p w14:paraId="0D682129">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eastAsia="zh-CN"/>
        </w:rPr>
        <w:t>1</w:t>
      </w:r>
      <w:r>
        <w:rPr>
          <w:rFonts w:hint="default" w:ascii="Times New Roman" w:hAnsi="Times New Roman" w:eastAsia="仿宋_GB2312" w:cs="Times New Roman"/>
          <w:b w:val="0"/>
          <w:bCs w:val="0"/>
          <w:sz w:val="24"/>
          <w:szCs w:val="20"/>
          <w:lang w:val="en-US" w:eastAsia="zh-CN"/>
        </w:rPr>
        <w:t>.项目</w:t>
      </w:r>
      <w:r>
        <w:rPr>
          <w:rFonts w:hint="default" w:ascii="Times New Roman" w:hAnsi="Times New Roman" w:eastAsia="仿宋_GB2312" w:cs="Times New Roman"/>
          <w:b w:val="0"/>
          <w:bCs w:val="0"/>
          <w:sz w:val="24"/>
          <w:szCs w:val="20"/>
        </w:rPr>
        <w:t>编号：</w:t>
      </w:r>
      <w:r>
        <w:rPr>
          <w:rFonts w:hint="default" w:ascii="Times New Roman" w:hAnsi="Times New Roman" w:eastAsia="仿宋_GB2312" w:cs="Times New Roman"/>
          <w:b w:val="0"/>
          <w:bCs w:val="0"/>
          <w:sz w:val="24"/>
          <w:szCs w:val="20"/>
          <w:lang w:val="en-US" w:eastAsia="zh-CN"/>
        </w:rPr>
        <w:t>2025040</w:t>
      </w:r>
      <w:r>
        <w:rPr>
          <w:rFonts w:hint="eastAsia" w:ascii="Times New Roman" w:eastAsia="仿宋_GB2312" w:cs="Times New Roman"/>
          <w:b w:val="0"/>
          <w:bCs w:val="0"/>
          <w:sz w:val="24"/>
          <w:szCs w:val="20"/>
          <w:lang w:val="en-US" w:eastAsia="zh-CN"/>
        </w:rPr>
        <w:t>2</w:t>
      </w:r>
    </w:p>
    <w:p w14:paraId="4738FB71">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u w:val="none"/>
          <w:lang w:val="en-US" w:eastAsia="zh-CN"/>
        </w:rPr>
      </w:pPr>
      <w:r>
        <w:rPr>
          <w:rFonts w:hint="default" w:ascii="Times New Roman" w:hAnsi="Times New Roman" w:eastAsia="仿宋_GB2312" w:cs="Times New Roman"/>
          <w:b w:val="0"/>
          <w:bCs w:val="0"/>
          <w:sz w:val="24"/>
          <w:szCs w:val="20"/>
          <w:lang w:eastAsia="zh-CN"/>
        </w:rPr>
        <w:t>2</w:t>
      </w:r>
      <w:r>
        <w:rPr>
          <w:rFonts w:hint="default" w:ascii="Times New Roman" w:hAnsi="Times New Roman" w:eastAsia="仿宋_GB2312" w:cs="Times New Roman"/>
          <w:b w:val="0"/>
          <w:bCs w:val="0"/>
          <w:sz w:val="24"/>
          <w:szCs w:val="20"/>
          <w:lang w:val="en-US" w:eastAsia="zh-CN"/>
        </w:rPr>
        <w:t>.</w:t>
      </w:r>
      <w:r>
        <w:rPr>
          <w:rFonts w:hint="default" w:ascii="Times New Roman" w:hAnsi="Times New Roman" w:eastAsia="仿宋_GB2312" w:cs="Times New Roman"/>
          <w:b w:val="0"/>
          <w:bCs w:val="0"/>
          <w:sz w:val="24"/>
          <w:szCs w:val="20"/>
        </w:rPr>
        <w:t>比选项目：</w:t>
      </w:r>
      <w:r>
        <w:rPr>
          <w:rFonts w:hint="default" w:ascii="Times New Roman" w:hAnsi="Times New Roman" w:eastAsia="仿宋_GB2312" w:cs="Times New Roman"/>
          <w:b w:val="0"/>
          <w:bCs w:val="0"/>
          <w:sz w:val="24"/>
          <w:szCs w:val="20"/>
          <w:u w:val="none"/>
          <w:lang w:eastAsia="zh-CN"/>
        </w:rPr>
        <w:t>成都农业科技中心</w:t>
      </w:r>
      <w:r>
        <w:rPr>
          <w:rFonts w:hint="default" w:ascii="Times New Roman" w:hAnsi="Times New Roman" w:eastAsia="仿宋_GB2312" w:cs="Times New Roman"/>
          <w:b w:val="0"/>
          <w:bCs w:val="0"/>
          <w:sz w:val="24"/>
          <w:szCs w:val="20"/>
          <w:u w:val="none"/>
          <w:lang w:val="en-US" w:eastAsia="zh-CN"/>
        </w:rPr>
        <w:t>成果展示</w:t>
      </w:r>
      <w:r>
        <w:rPr>
          <w:rFonts w:hint="eastAsia" w:ascii="Times New Roman" w:eastAsia="仿宋_GB2312" w:cs="Times New Roman"/>
          <w:b w:val="0"/>
          <w:bCs w:val="0"/>
          <w:sz w:val="24"/>
          <w:szCs w:val="20"/>
          <w:u w:val="none"/>
          <w:lang w:val="en-US" w:eastAsia="zh-CN"/>
        </w:rPr>
        <w:t>馆</w:t>
      </w:r>
      <w:r>
        <w:rPr>
          <w:rFonts w:hint="default" w:ascii="Times New Roman" w:hAnsi="Times New Roman" w:eastAsia="仿宋_GB2312" w:cs="Times New Roman"/>
          <w:b w:val="0"/>
          <w:bCs w:val="0"/>
          <w:sz w:val="24"/>
          <w:szCs w:val="20"/>
          <w:u w:val="none"/>
          <w:lang w:eastAsia="zh-CN"/>
        </w:rPr>
        <w:t>改造项目</w:t>
      </w:r>
    </w:p>
    <w:p w14:paraId="1F9566AA">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33" w:name="_Toc4751"/>
      <w:bookmarkStart w:id="34" w:name="_Toc19174"/>
      <w:bookmarkStart w:id="35" w:name="_Toc3059"/>
      <w:bookmarkStart w:id="36" w:name="_Toc25136"/>
      <w:bookmarkStart w:id="37" w:name="_Toc23203"/>
      <w:r>
        <w:rPr>
          <w:rFonts w:hint="default" w:ascii="Times New Roman" w:hAnsi="Times New Roman" w:eastAsia="黑体" w:cs="Times New Roman"/>
          <w:b w:val="0"/>
          <w:bCs w:val="0"/>
          <w:sz w:val="24"/>
          <w:szCs w:val="20"/>
          <w:lang w:val="en-US" w:eastAsia="zh-CN"/>
        </w:rPr>
        <w:t>二、资金情况</w:t>
      </w:r>
      <w:bookmarkEnd w:id="33"/>
      <w:bookmarkEnd w:id="34"/>
      <w:bookmarkEnd w:id="35"/>
      <w:bookmarkEnd w:id="36"/>
      <w:bookmarkEnd w:id="37"/>
    </w:p>
    <w:p w14:paraId="45D85301">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eastAsia="zh-CN"/>
        </w:rPr>
      </w:pPr>
      <w:r>
        <w:rPr>
          <w:rFonts w:hint="default" w:ascii="Times New Roman" w:hAnsi="Times New Roman" w:eastAsia="仿宋_GB2312" w:cs="Times New Roman"/>
          <w:b w:val="0"/>
          <w:bCs w:val="0"/>
          <w:sz w:val="24"/>
          <w:szCs w:val="20"/>
          <w:lang w:val="en-US" w:eastAsia="zh-CN"/>
        </w:rPr>
        <w:t>资金情况</w:t>
      </w:r>
      <w:r>
        <w:rPr>
          <w:rFonts w:hint="default" w:ascii="Times New Roman" w:hAnsi="Times New Roman" w:eastAsia="仿宋_GB2312" w:cs="Times New Roman"/>
          <w:b w:val="0"/>
          <w:bCs w:val="0"/>
          <w:sz w:val="24"/>
          <w:szCs w:val="20"/>
        </w:rPr>
        <w:t>：</w:t>
      </w:r>
      <w:r>
        <w:rPr>
          <w:rFonts w:hint="default" w:ascii="Times New Roman" w:hAnsi="Times New Roman" w:eastAsia="仿宋_GB2312" w:cs="Times New Roman"/>
          <w:b w:val="0"/>
          <w:bCs w:val="0"/>
          <w:sz w:val="24"/>
          <w:szCs w:val="20"/>
          <w:lang w:val="en-US" w:eastAsia="zh-CN"/>
        </w:rPr>
        <w:t>资金已落实，但未达到政府采购限额。</w:t>
      </w:r>
    </w:p>
    <w:p w14:paraId="28AD8F72">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38" w:name="_Toc6543"/>
      <w:bookmarkStart w:id="39" w:name="_Toc29223"/>
      <w:bookmarkStart w:id="40" w:name="_Toc27169"/>
      <w:bookmarkStart w:id="41" w:name="_Toc3004"/>
      <w:bookmarkStart w:id="42" w:name="_Toc25281"/>
      <w:r>
        <w:rPr>
          <w:rFonts w:hint="default" w:ascii="Times New Roman" w:hAnsi="Times New Roman" w:eastAsia="黑体" w:cs="Times New Roman"/>
          <w:b w:val="0"/>
          <w:bCs w:val="0"/>
          <w:sz w:val="24"/>
          <w:szCs w:val="20"/>
          <w:lang w:val="en-US" w:eastAsia="zh-CN"/>
        </w:rPr>
        <w:t>三、比选项目简介</w:t>
      </w:r>
      <w:bookmarkEnd w:id="38"/>
      <w:bookmarkEnd w:id="39"/>
      <w:bookmarkEnd w:id="40"/>
      <w:bookmarkEnd w:id="41"/>
      <w:bookmarkEnd w:id="42"/>
    </w:p>
    <w:p w14:paraId="06627D7C">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highlight w:val="none"/>
        </w:rPr>
      </w:pPr>
      <w:r>
        <w:rPr>
          <w:rFonts w:hint="default" w:ascii="Times New Roman" w:hAnsi="Times New Roman" w:eastAsia="仿宋_GB2312" w:cs="Times New Roman"/>
          <w:b w:val="0"/>
          <w:bCs w:val="0"/>
          <w:sz w:val="24"/>
          <w:szCs w:val="20"/>
          <w:u w:val="none"/>
          <w:lang w:val="en-US" w:eastAsia="zh-CN"/>
        </w:rPr>
        <w:t>本项目共1个包，采购</w:t>
      </w:r>
      <w:r>
        <w:rPr>
          <w:rFonts w:hint="default" w:ascii="Times New Roman" w:hAnsi="Times New Roman" w:eastAsia="仿宋_GB2312" w:cs="Times New Roman"/>
          <w:b w:val="0"/>
          <w:bCs w:val="0"/>
          <w:sz w:val="24"/>
          <w:szCs w:val="20"/>
          <w:u w:val="none"/>
          <w:lang w:eastAsia="zh-CN"/>
        </w:rPr>
        <w:t>成都农业科技中心</w:t>
      </w:r>
      <w:r>
        <w:rPr>
          <w:rFonts w:hint="default" w:ascii="Times New Roman" w:hAnsi="Times New Roman" w:eastAsia="仿宋_GB2312" w:cs="Times New Roman"/>
          <w:b w:val="0"/>
          <w:bCs w:val="0"/>
          <w:sz w:val="24"/>
          <w:szCs w:val="20"/>
          <w:u w:val="none"/>
          <w:lang w:val="en-US" w:eastAsia="zh-CN"/>
        </w:rPr>
        <w:t>成果展示</w:t>
      </w:r>
      <w:r>
        <w:rPr>
          <w:rFonts w:hint="default" w:ascii="Times New Roman" w:hAnsi="Times New Roman" w:eastAsia="仿宋_GB2312" w:cs="Times New Roman"/>
          <w:b w:val="0"/>
          <w:bCs w:val="0"/>
          <w:sz w:val="24"/>
          <w:szCs w:val="20"/>
          <w:u w:val="none"/>
          <w:lang w:eastAsia="zh-CN"/>
        </w:rPr>
        <w:t>馆改造</w:t>
      </w:r>
      <w:r>
        <w:rPr>
          <w:rFonts w:hint="default" w:ascii="Times New Roman" w:hAnsi="Times New Roman" w:eastAsia="仿宋_GB2312" w:cs="Times New Roman"/>
          <w:b w:val="0"/>
          <w:bCs w:val="0"/>
          <w:sz w:val="24"/>
          <w:szCs w:val="20"/>
          <w:u w:val="none"/>
          <w:lang w:val="en-US" w:eastAsia="zh-CN"/>
        </w:rPr>
        <w:t>供应商一名</w:t>
      </w:r>
      <w:r>
        <w:rPr>
          <w:rFonts w:hint="default" w:ascii="Times New Roman" w:hAnsi="Times New Roman" w:eastAsia="仿宋_GB2312" w:cs="Times New Roman"/>
          <w:b w:val="0"/>
          <w:bCs w:val="0"/>
          <w:sz w:val="24"/>
          <w:szCs w:val="20"/>
          <w:highlight w:val="none"/>
          <w:u w:val="none"/>
          <w:lang w:val="en-US" w:eastAsia="zh-CN"/>
        </w:rPr>
        <w:t>。</w:t>
      </w:r>
      <w:r>
        <w:rPr>
          <w:rFonts w:hint="default" w:ascii="Times New Roman" w:hAnsi="Times New Roman" w:eastAsia="仿宋_GB2312" w:cs="Times New Roman"/>
          <w:b w:val="0"/>
          <w:bCs w:val="0"/>
          <w:sz w:val="24"/>
          <w:szCs w:val="20"/>
          <w:u w:val="none"/>
          <w:lang w:val="en-US" w:eastAsia="zh-CN"/>
        </w:rPr>
        <w:t>（</w:t>
      </w:r>
      <w:r>
        <w:rPr>
          <w:rFonts w:hint="default" w:ascii="Times New Roman" w:hAnsi="Times New Roman" w:eastAsia="仿宋_GB2312" w:cs="Times New Roman"/>
          <w:b w:val="0"/>
          <w:bCs w:val="0"/>
          <w:sz w:val="24"/>
          <w:szCs w:val="20"/>
        </w:rPr>
        <w:t>详见</w:t>
      </w:r>
      <w:r>
        <w:rPr>
          <w:rFonts w:hint="default" w:ascii="Times New Roman" w:hAnsi="Times New Roman" w:eastAsia="仿宋_GB2312" w:cs="Times New Roman"/>
          <w:b w:val="0"/>
          <w:bCs w:val="0"/>
          <w:sz w:val="24"/>
          <w:szCs w:val="20"/>
          <w:highlight w:val="none"/>
        </w:rPr>
        <w:t>第</w:t>
      </w:r>
      <w:r>
        <w:rPr>
          <w:rFonts w:hint="default" w:ascii="Times New Roman" w:hAnsi="Times New Roman" w:eastAsia="仿宋_GB2312" w:cs="Times New Roman"/>
          <w:b w:val="0"/>
          <w:bCs w:val="0"/>
          <w:sz w:val="24"/>
          <w:szCs w:val="20"/>
          <w:highlight w:val="none"/>
          <w:lang w:val="en-US" w:eastAsia="zh-CN"/>
        </w:rPr>
        <w:t>二</w:t>
      </w:r>
      <w:r>
        <w:rPr>
          <w:rFonts w:hint="default" w:ascii="Times New Roman" w:hAnsi="Times New Roman" w:eastAsia="仿宋_GB2312" w:cs="Times New Roman"/>
          <w:b w:val="0"/>
          <w:bCs w:val="0"/>
          <w:sz w:val="24"/>
          <w:szCs w:val="20"/>
          <w:highlight w:val="none"/>
        </w:rPr>
        <w:t>章</w:t>
      </w:r>
      <w:r>
        <w:rPr>
          <w:rFonts w:hint="default" w:ascii="Times New Roman" w:hAnsi="Times New Roman" w:eastAsia="仿宋_GB2312" w:cs="Times New Roman"/>
          <w:b w:val="0"/>
          <w:bCs w:val="0"/>
          <w:sz w:val="24"/>
          <w:szCs w:val="20"/>
          <w:highlight w:val="none"/>
          <w:u w:val="none"/>
          <w:lang w:val="en-US" w:eastAsia="zh-CN"/>
        </w:rPr>
        <w:t>）</w:t>
      </w:r>
    </w:p>
    <w:p w14:paraId="48171078">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43" w:name="_Toc19341"/>
      <w:bookmarkStart w:id="44" w:name="_Toc6857"/>
      <w:bookmarkStart w:id="45" w:name="_Toc8649"/>
      <w:bookmarkStart w:id="46" w:name="_Toc19813"/>
      <w:bookmarkStart w:id="47" w:name="_Toc3275"/>
      <w:r>
        <w:rPr>
          <w:rFonts w:hint="default" w:ascii="Times New Roman" w:hAnsi="Times New Roman" w:eastAsia="黑体" w:cs="Times New Roman"/>
          <w:b w:val="0"/>
          <w:bCs w:val="0"/>
          <w:sz w:val="24"/>
          <w:szCs w:val="20"/>
          <w:lang w:val="en-US" w:eastAsia="zh-CN"/>
        </w:rPr>
        <w:t>四、供应商邀请方式</w:t>
      </w:r>
      <w:bookmarkEnd w:id="43"/>
      <w:bookmarkEnd w:id="44"/>
      <w:bookmarkEnd w:id="45"/>
      <w:bookmarkEnd w:id="46"/>
      <w:bookmarkEnd w:id="47"/>
    </w:p>
    <w:p w14:paraId="70B3966C">
      <w:pPr>
        <w:keepNext w:val="0"/>
        <w:keepLines w:val="0"/>
        <w:pageBreakBefore w:val="0"/>
        <w:widowControl w:val="0"/>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eastAsia="zh-CN"/>
        </w:rPr>
      </w:pPr>
      <w:r>
        <w:rPr>
          <w:rFonts w:hint="default" w:ascii="Times New Roman" w:hAnsi="Times New Roman" w:eastAsia="仿宋_GB2312" w:cs="Times New Roman"/>
          <w:b w:val="0"/>
          <w:bCs w:val="0"/>
          <w:sz w:val="24"/>
          <w:szCs w:val="20"/>
          <w:lang w:eastAsia="zh-CN"/>
        </w:rPr>
        <w:t>本次</w:t>
      </w:r>
      <w:r>
        <w:rPr>
          <w:rFonts w:hint="default" w:ascii="Times New Roman" w:hAnsi="Times New Roman" w:eastAsia="仿宋_GB2312" w:cs="Times New Roman"/>
          <w:b w:val="0"/>
          <w:bCs w:val="0"/>
          <w:sz w:val="24"/>
          <w:szCs w:val="20"/>
          <w:lang w:val="en-US" w:eastAsia="zh-CN"/>
        </w:rPr>
        <w:t>比选</w:t>
      </w:r>
      <w:r>
        <w:rPr>
          <w:rFonts w:hint="default" w:ascii="Times New Roman" w:hAnsi="Times New Roman" w:eastAsia="仿宋_GB2312" w:cs="Times New Roman"/>
          <w:b w:val="0"/>
          <w:bCs w:val="0"/>
          <w:sz w:val="24"/>
          <w:szCs w:val="20"/>
          <w:lang w:eastAsia="zh-CN"/>
        </w:rPr>
        <w:t>邀请在</w:t>
      </w:r>
      <w:r>
        <w:rPr>
          <w:rFonts w:hint="default" w:ascii="Times New Roman" w:hAnsi="Times New Roman" w:eastAsia="仿宋_GB2312" w:cs="Times New Roman"/>
          <w:b w:val="0"/>
          <w:bCs w:val="0"/>
          <w:sz w:val="24"/>
          <w:szCs w:val="20"/>
          <w:u w:val="single"/>
          <w:lang w:eastAsia="zh-CN"/>
        </w:rPr>
        <w:t>中国</w:t>
      </w:r>
      <w:r>
        <w:rPr>
          <w:rFonts w:hint="default" w:ascii="Times New Roman" w:hAnsi="Times New Roman" w:eastAsia="仿宋_GB2312" w:cs="Times New Roman"/>
          <w:b w:val="0"/>
          <w:bCs w:val="0"/>
          <w:sz w:val="24"/>
          <w:szCs w:val="20"/>
          <w:u w:val="single"/>
          <w:lang w:val="en-US" w:eastAsia="zh-CN"/>
        </w:rPr>
        <w:t>农业科学院都市农业研究所</w:t>
      </w:r>
      <w:r>
        <w:rPr>
          <w:rFonts w:hint="default" w:ascii="Times New Roman" w:hAnsi="Times New Roman" w:eastAsia="仿宋_GB2312" w:cs="Times New Roman"/>
          <w:b w:val="0"/>
          <w:bCs w:val="0"/>
          <w:sz w:val="24"/>
          <w:szCs w:val="20"/>
          <w:u w:val="single"/>
          <w:lang w:eastAsia="zh-CN"/>
        </w:rPr>
        <w:t>（https://iua.caas.cn/）</w:t>
      </w:r>
      <w:r>
        <w:rPr>
          <w:rFonts w:hint="default" w:ascii="Times New Roman" w:hAnsi="Times New Roman" w:eastAsia="仿宋_GB2312" w:cs="Times New Roman"/>
          <w:b w:val="0"/>
          <w:bCs w:val="0"/>
          <w:sz w:val="24"/>
          <w:szCs w:val="20"/>
          <w:lang w:eastAsia="zh-CN"/>
        </w:rPr>
        <w:t>上以公告形式发布。</w:t>
      </w:r>
    </w:p>
    <w:p w14:paraId="79148B1D">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48" w:name="_Toc5961"/>
      <w:bookmarkStart w:id="49" w:name="_Toc15548"/>
      <w:bookmarkStart w:id="50" w:name="_Toc31136"/>
      <w:bookmarkStart w:id="51" w:name="_Toc1249"/>
      <w:bookmarkStart w:id="52" w:name="_Toc23350"/>
      <w:r>
        <w:rPr>
          <w:rFonts w:hint="default" w:ascii="Times New Roman" w:hAnsi="Times New Roman" w:eastAsia="黑体" w:cs="Times New Roman"/>
          <w:b w:val="0"/>
          <w:bCs w:val="0"/>
          <w:sz w:val="24"/>
          <w:szCs w:val="20"/>
          <w:lang w:val="en-US" w:eastAsia="zh-CN"/>
        </w:rPr>
        <w:t>五、供应商参加本次采购活动应具备下列条件</w:t>
      </w:r>
      <w:bookmarkEnd w:id="48"/>
      <w:bookmarkEnd w:id="49"/>
      <w:bookmarkEnd w:id="50"/>
      <w:bookmarkEnd w:id="51"/>
      <w:bookmarkEnd w:id="52"/>
    </w:p>
    <w:p w14:paraId="7A4C59C0">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1.具有独立承担民事责任的能力；</w:t>
      </w:r>
    </w:p>
    <w:p w14:paraId="5F7A3176">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2.具有良好的商业信誉和健全的财务会计制度；</w:t>
      </w:r>
    </w:p>
    <w:p w14:paraId="1E1AA107">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3.具有履行合同所必须的设备和专业技术能力；</w:t>
      </w:r>
    </w:p>
    <w:p w14:paraId="7AB147AE">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4.具有依法缴纳税收和社会保障资金的良好记录；</w:t>
      </w:r>
    </w:p>
    <w:p w14:paraId="47B12959">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5.参加本次采购活动前三年内，在经营活动中没有重大违法记录；</w:t>
      </w:r>
    </w:p>
    <w:p w14:paraId="68FF3B7C">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6.法律、行政法规规定的其他条件；</w:t>
      </w:r>
    </w:p>
    <w:p w14:paraId="2DE8748B">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7.采购人根据采购项目提出的特殊条件：</w:t>
      </w:r>
    </w:p>
    <w:p w14:paraId="03434DBD">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7.1具有行政主管部门颁发的</w:t>
      </w:r>
      <w:r>
        <w:rPr>
          <w:rFonts w:hint="eastAsia" w:ascii="Times New Roman" w:eastAsia="仿宋_GB2312" w:cs="Times New Roman"/>
          <w:b w:val="0"/>
          <w:bCs w:val="0"/>
          <w:sz w:val="24"/>
          <w:szCs w:val="20"/>
          <w:lang w:val="en-US" w:eastAsia="zh-CN"/>
        </w:rPr>
        <w:t>装修</w:t>
      </w:r>
      <w:r>
        <w:rPr>
          <w:rFonts w:hint="default" w:ascii="Times New Roman" w:hAnsi="Times New Roman" w:eastAsia="仿宋_GB2312" w:cs="Times New Roman"/>
          <w:b w:val="0"/>
          <w:bCs w:val="0"/>
          <w:sz w:val="24"/>
          <w:szCs w:val="20"/>
          <w:lang w:val="en-US" w:eastAsia="zh-CN"/>
        </w:rPr>
        <w:t>资质</w:t>
      </w:r>
      <w:r>
        <w:rPr>
          <w:rFonts w:hint="eastAsia" w:ascii="Times New Roman" w:eastAsia="仿宋_GB2312" w:cs="Times New Roman"/>
          <w:b w:val="0"/>
          <w:bCs w:val="0"/>
          <w:sz w:val="24"/>
          <w:szCs w:val="20"/>
          <w:lang w:val="en-US" w:eastAsia="zh-CN"/>
        </w:rPr>
        <w:t>证书</w:t>
      </w:r>
      <w:r>
        <w:rPr>
          <w:rFonts w:hint="default" w:ascii="Times New Roman" w:hAnsi="Times New Roman" w:eastAsia="仿宋_GB2312" w:cs="Times New Roman"/>
          <w:b w:val="0"/>
          <w:bCs w:val="0"/>
          <w:sz w:val="24"/>
          <w:szCs w:val="20"/>
          <w:lang w:val="en-US" w:eastAsia="zh-CN"/>
        </w:rPr>
        <w:t>；</w:t>
      </w:r>
    </w:p>
    <w:p w14:paraId="53015EA1">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b w:val="0"/>
          <w:bCs w:val="0"/>
          <w:sz w:val="24"/>
          <w:szCs w:val="20"/>
          <w:lang w:eastAsia="zh-CN"/>
        </w:rPr>
      </w:pPr>
      <w:bookmarkStart w:id="53" w:name="_Toc17542"/>
      <w:bookmarkStart w:id="54" w:name="_Toc23327"/>
      <w:bookmarkStart w:id="55" w:name="_Toc7438"/>
      <w:bookmarkStart w:id="56" w:name="_Toc10978"/>
      <w:r>
        <w:rPr>
          <w:rFonts w:hint="default" w:ascii="Times New Roman" w:hAnsi="Times New Roman" w:eastAsia="仿宋_GB2312" w:cs="Times New Roman"/>
          <w:b w:val="0"/>
          <w:bCs w:val="0"/>
          <w:sz w:val="24"/>
          <w:szCs w:val="20"/>
          <w:lang w:eastAsia="zh-CN"/>
        </w:rPr>
        <w:t>7.2提供有效的《安全生产许可证》。</w:t>
      </w:r>
      <w:bookmarkEnd w:id="53"/>
      <w:bookmarkEnd w:id="54"/>
      <w:bookmarkEnd w:id="55"/>
      <w:bookmarkEnd w:id="56"/>
    </w:p>
    <w:p w14:paraId="093BA01D">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3"/>
        <w:rPr>
          <w:rFonts w:hint="default" w:ascii="Times New Roman" w:hAnsi="Times New Roman" w:eastAsia="仿宋_GB2312" w:cs="Times New Roman"/>
          <w:b w:val="0"/>
          <w:bCs w:val="0"/>
          <w:sz w:val="24"/>
          <w:szCs w:val="20"/>
          <w:lang w:eastAsia="zh-CN"/>
        </w:rPr>
      </w:pPr>
      <w:r>
        <w:rPr>
          <w:rFonts w:hint="default" w:ascii="Times New Roman" w:hAnsi="Times New Roman" w:eastAsia="仿宋_GB2312" w:cs="Times New Roman"/>
          <w:b w:val="0"/>
          <w:bCs w:val="0"/>
          <w:sz w:val="24"/>
          <w:szCs w:val="20"/>
          <w:lang w:val="en-US" w:eastAsia="zh-CN"/>
        </w:rPr>
        <w:t>8.</w:t>
      </w:r>
      <w:r>
        <w:rPr>
          <w:rFonts w:hint="default" w:ascii="Times New Roman" w:hAnsi="Times New Roman" w:eastAsia="仿宋_GB2312" w:cs="Times New Roman"/>
          <w:b w:val="0"/>
          <w:bCs w:val="0"/>
          <w:sz w:val="24"/>
          <w:szCs w:val="20"/>
          <w:lang w:eastAsia="zh-CN"/>
        </w:rPr>
        <w:t>本项目不接受联合体参与。</w:t>
      </w:r>
    </w:p>
    <w:p w14:paraId="788B369C">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57" w:name="_Toc2516"/>
      <w:bookmarkStart w:id="58" w:name="_Toc14871"/>
      <w:bookmarkStart w:id="59" w:name="_Toc16386"/>
      <w:bookmarkStart w:id="60" w:name="_Toc30685"/>
      <w:bookmarkStart w:id="61" w:name="_Toc2355"/>
      <w:r>
        <w:rPr>
          <w:rFonts w:hint="default" w:ascii="Times New Roman" w:hAnsi="Times New Roman" w:eastAsia="黑体" w:cs="Times New Roman"/>
          <w:b w:val="0"/>
          <w:bCs w:val="0"/>
          <w:sz w:val="24"/>
          <w:szCs w:val="20"/>
          <w:lang w:val="en-US" w:eastAsia="zh-CN"/>
        </w:rPr>
        <w:t>六、报名及领取比选文件时间及方式</w:t>
      </w:r>
      <w:bookmarkEnd w:id="57"/>
      <w:bookmarkEnd w:id="58"/>
      <w:bookmarkEnd w:id="59"/>
      <w:bookmarkEnd w:id="60"/>
      <w:bookmarkEnd w:id="61"/>
    </w:p>
    <w:p w14:paraId="4D16EEA1">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val="en-US" w:eastAsia="zh-CN"/>
        </w:rPr>
        <w:t>1.</w:t>
      </w:r>
      <w:r>
        <w:rPr>
          <w:rFonts w:hint="default" w:ascii="Times New Roman" w:hAnsi="Times New Roman" w:eastAsia="仿宋_GB2312" w:cs="Times New Roman"/>
          <w:sz w:val="24"/>
          <w:szCs w:val="20"/>
          <w:lang w:eastAsia="zh-CN"/>
        </w:rPr>
        <w:t>报名及领取比选文件时间：202</w:t>
      </w:r>
      <w:r>
        <w:rPr>
          <w:rFonts w:hint="default" w:ascii="Times New Roman" w:hAnsi="Times New Roman" w:eastAsia="仿宋_GB2312" w:cs="Times New Roman"/>
          <w:sz w:val="24"/>
          <w:szCs w:val="20"/>
          <w:lang w:val="en-US" w:eastAsia="zh-CN"/>
        </w:rPr>
        <w:t>5</w:t>
      </w:r>
      <w:r>
        <w:rPr>
          <w:rFonts w:hint="default" w:ascii="Times New Roman" w:hAnsi="Times New Roman" w:eastAsia="仿宋_GB2312" w:cs="Times New Roman"/>
          <w:sz w:val="24"/>
          <w:szCs w:val="20"/>
          <w:lang w:eastAsia="zh-CN"/>
        </w:rPr>
        <w:t>年</w:t>
      </w:r>
      <w:r>
        <w:rPr>
          <w:rFonts w:hint="default" w:ascii="Times New Roman" w:hAnsi="Times New Roman" w:eastAsia="仿宋_GB2312" w:cs="Times New Roman"/>
          <w:sz w:val="24"/>
          <w:szCs w:val="20"/>
          <w:lang w:val="en-US" w:eastAsia="zh-CN"/>
        </w:rPr>
        <w:t>4</w:t>
      </w:r>
      <w:r>
        <w:rPr>
          <w:rFonts w:hint="default" w:ascii="Times New Roman" w:hAnsi="Times New Roman" w:eastAsia="仿宋_GB2312" w:cs="Times New Roman"/>
          <w:sz w:val="24"/>
          <w:szCs w:val="20"/>
          <w:lang w:eastAsia="zh-CN"/>
        </w:rPr>
        <w:t>月</w:t>
      </w:r>
      <w:r>
        <w:rPr>
          <w:rFonts w:hint="eastAsia" w:ascii="Times New Roman" w:eastAsia="仿宋_GB2312" w:cs="Times New Roman"/>
          <w:sz w:val="24"/>
          <w:szCs w:val="20"/>
          <w:lang w:val="en-US" w:eastAsia="zh-CN"/>
        </w:rPr>
        <w:t>8</w:t>
      </w:r>
      <w:r>
        <w:rPr>
          <w:rFonts w:hint="default" w:ascii="Times New Roman" w:hAnsi="Times New Roman" w:eastAsia="仿宋_GB2312" w:cs="Times New Roman"/>
          <w:sz w:val="24"/>
          <w:szCs w:val="20"/>
          <w:lang w:eastAsia="zh-CN"/>
        </w:rPr>
        <w:t>日。</w:t>
      </w:r>
    </w:p>
    <w:p w14:paraId="1A4B1E8C">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val="en-US" w:eastAsia="zh-CN"/>
        </w:rPr>
        <w:t>2.</w:t>
      </w:r>
      <w:r>
        <w:rPr>
          <w:rFonts w:hint="default" w:ascii="Times New Roman" w:hAnsi="Times New Roman" w:eastAsia="仿宋_GB2312" w:cs="Times New Roman"/>
          <w:sz w:val="24"/>
          <w:szCs w:val="20"/>
          <w:lang w:eastAsia="zh-CN"/>
        </w:rPr>
        <w:t>报名及领取比选文件方式：在报名期间，申请人电话联系比选人指定联系人并将报名资料（有效的营业执照副本复印件、法定代表人身份证复印件【或法定代表人及其委托代理人身份证复印件、授权委托书】、单位介绍信并加盖公章）发送到比选人指定邮箱。比选文件由申请人自行在中国农业科学院都市农业研究所官网上下载。</w:t>
      </w:r>
    </w:p>
    <w:p w14:paraId="63FDFC0E">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sz w:val="24"/>
          <w:szCs w:val="20"/>
          <w:lang w:eastAsia="zh-CN"/>
        </w:rPr>
      </w:pPr>
      <w:bookmarkStart w:id="62" w:name="_Toc14733"/>
      <w:bookmarkStart w:id="63" w:name="_Toc29956"/>
      <w:bookmarkStart w:id="64" w:name="_Toc24715"/>
      <w:bookmarkStart w:id="65" w:name="_Toc6197"/>
      <w:r>
        <w:rPr>
          <w:rFonts w:hint="default" w:ascii="Times New Roman" w:hAnsi="Times New Roman" w:eastAsia="仿宋_GB2312" w:cs="Times New Roman"/>
          <w:sz w:val="24"/>
          <w:szCs w:val="20"/>
          <w:lang w:val="en-US" w:eastAsia="zh-CN"/>
        </w:rPr>
        <w:t>3.</w:t>
      </w:r>
      <w:r>
        <w:rPr>
          <w:rFonts w:hint="default" w:ascii="Times New Roman" w:hAnsi="Times New Roman" w:eastAsia="仿宋_GB2312" w:cs="Times New Roman"/>
          <w:sz w:val="24"/>
          <w:szCs w:val="20"/>
          <w:lang w:eastAsia="zh-CN"/>
        </w:rPr>
        <w:t>比选文件售价：免费提供，不得转让，不提供邮寄服务。</w:t>
      </w:r>
      <w:bookmarkEnd w:id="62"/>
      <w:bookmarkEnd w:id="63"/>
      <w:bookmarkEnd w:id="64"/>
      <w:bookmarkEnd w:id="65"/>
      <w:bookmarkStart w:id="675" w:name="_GoBack"/>
      <w:bookmarkEnd w:id="675"/>
    </w:p>
    <w:p w14:paraId="240A763F">
      <w:pPr>
        <w:keepNext w:val="0"/>
        <w:keepLines w:val="0"/>
        <w:pageBreakBefore w:val="0"/>
        <w:widowControl/>
        <w:numPr>
          <w:ilvl w:val="-1"/>
          <w:numId w:val="0"/>
        </w:numPr>
        <w:tabs>
          <w:tab w:val="left" w:pos="7665"/>
        </w:tabs>
        <w:kinsoku/>
        <w:wordWrap/>
        <w:overflowPunct/>
        <w:topLinePunct w:val="0"/>
        <w:autoSpaceDE/>
        <w:autoSpaceDN/>
        <w:bidi w:val="0"/>
        <w:adjustRightInd/>
        <w:snapToGrid/>
        <w:spacing w:line="560" w:lineRule="exact"/>
        <w:ind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66" w:name="_Toc7928"/>
      <w:bookmarkStart w:id="67" w:name="_Toc21016"/>
      <w:bookmarkStart w:id="68" w:name="_Toc18036"/>
      <w:bookmarkStart w:id="69" w:name="_Toc7052"/>
      <w:bookmarkStart w:id="70" w:name="_Toc17607"/>
      <w:r>
        <w:rPr>
          <w:rFonts w:hint="default" w:ascii="Times New Roman" w:hAnsi="Times New Roman" w:eastAsia="黑体" w:cs="Times New Roman"/>
          <w:b w:val="0"/>
          <w:bCs w:val="0"/>
          <w:sz w:val="24"/>
          <w:szCs w:val="20"/>
          <w:lang w:val="en-US" w:eastAsia="zh-CN"/>
        </w:rPr>
        <w:t>七、响应文件递交时间及地点、比选时间</w:t>
      </w:r>
      <w:bookmarkEnd w:id="66"/>
      <w:bookmarkEnd w:id="67"/>
      <w:bookmarkEnd w:id="68"/>
      <w:bookmarkEnd w:id="69"/>
      <w:bookmarkEnd w:id="70"/>
    </w:p>
    <w:p w14:paraId="685E9792">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sz w:val="24"/>
          <w:szCs w:val="20"/>
          <w:lang w:eastAsia="zh-CN"/>
        </w:rPr>
      </w:pPr>
      <w:bookmarkStart w:id="71" w:name="_Toc4344"/>
      <w:bookmarkStart w:id="72" w:name="_Toc13732"/>
      <w:bookmarkStart w:id="73" w:name="_Toc27702"/>
      <w:bookmarkStart w:id="74" w:name="_Toc5073"/>
      <w:r>
        <w:rPr>
          <w:rFonts w:hint="default" w:ascii="Times New Roman" w:hAnsi="Times New Roman" w:eastAsia="仿宋_GB2312" w:cs="Times New Roman"/>
          <w:sz w:val="24"/>
          <w:szCs w:val="20"/>
          <w:lang w:val="en-US" w:eastAsia="zh-CN"/>
        </w:rPr>
        <w:t>1.响应文件递交截止时间：</w:t>
      </w:r>
      <w:r>
        <w:rPr>
          <w:rFonts w:hint="default" w:ascii="Times New Roman" w:hAnsi="Times New Roman" w:eastAsia="仿宋_GB2312" w:cs="Times New Roman"/>
          <w:sz w:val="24"/>
          <w:szCs w:val="20"/>
          <w:lang w:eastAsia="zh-CN"/>
        </w:rPr>
        <w:t>202</w:t>
      </w:r>
      <w:r>
        <w:rPr>
          <w:rFonts w:hint="default" w:ascii="Times New Roman" w:hAnsi="Times New Roman" w:eastAsia="仿宋_GB2312" w:cs="Times New Roman"/>
          <w:sz w:val="24"/>
          <w:szCs w:val="20"/>
          <w:lang w:val="en-US" w:eastAsia="zh-CN"/>
        </w:rPr>
        <w:t>5</w:t>
      </w:r>
      <w:r>
        <w:rPr>
          <w:rFonts w:hint="default" w:ascii="Times New Roman" w:hAnsi="Times New Roman" w:eastAsia="仿宋_GB2312" w:cs="Times New Roman"/>
          <w:sz w:val="24"/>
          <w:szCs w:val="20"/>
          <w:lang w:eastAsia="zh-CN"/>
        </w:rPr>
        <w:t>年</w:t>
      </w:r>
      <w:r>
        <w:rPr>
          <w:rFonts w:hint="default" w:ascii="Times New Roman" w:hAnsi="Times New Roman" w:eastAsia="仿宋_GB2312" w:cs="Times New Roman"/>
          <w:sz w:val="24"/>
          <w:szCs w:val="20"/>
          <w:lang w:val="en-US" w:eastAsia="zh-CN"/>
        </w:rPr>
        <w:t>4</w:t>
      </w:r>
      <w:r>
        <w:rPr>
          <w:rFonts w:hint="default" w:ascii="Times New Roman" w:hAnsi="Times New Roman" w:eastAsia="仿宋_GB2312" w:cs="Times New Roman"/>
          <w:sz w:val="24"/>
          <w:szCs w:val="20"/>
          <w:lang w:eastAsia="zh-CN"/>
        </w:rPr>
        <w:t>月</w:t>
      </w:r>
      <w:r>
        <w:rPr>
          <w:rFonts w:hint="default" w:ascii="Times New Roman" w:hAnsi="Times New Roman" w:eastAsia="仿宋_GB2312" w:cs="Times New Roman"/>
          <w:sz w:val="24"/>
          <w:szCs w:val="20"/>
          <w:lang w:val="en-US" w:eastAsia="zh-CN"/>
        </w:rPr>
        <w:t>1</w:t>
      </w:r>
      <w:r>
        <w:rPr>
          <w:rFonts w:hint="eastAsia" w:ascii="Times New Roman" w:eastAsia="仿宋_GB2312" w:cs="Times New Roman"/>
          <w:sz w:val="24"/>
          <w:szCs w:val="20"/>
          <w:lang w:val="en-US" w:eastAsia="zh-CN"/>
        </w:rPr>
        <w:t>7</w:t>
      </w:r>
      <w:r>
        <w:rPr>
          <w:rFonts w:hint="default" w:ascii="Times New Roman" w:hAnsi="Times New Roman" w:eastAsia="仿宋_GB2312" w:cs="Times New Roman"/>
          <w:sz w:val="24"/>
          <w:szCs w:val="20"/>
          <w:lang w:eastAsia="zh-CN"/>
        </w:rPr>
        <w:t>日</w:t>
      </w:r>
      <w:r>
        <w:rPr>
          <w:rFonts w:hint="default" w:ascii="Times New Roman" w:hAnsi="Times New Roman" w:eastAsia="仿宋_GB2312" w:cs="Times New Roman"/>
          <w:sz w:val="24"/>
          <w:szCs w:val="20"/>
          <w:lang w:val="en-US" w:eastAsia="zh-CN"/>
        </w:rPr>
        <w:t>18时00分</w:t>
      </w:r>
      <w:r>
        <w:rPr>
          <w:rFonts w:hint="default" w:ascii="Times New Roman" w:hAnsi="Times New Roman" w:eastAsia="仿宋_GB2312" w:cs="Times New Roman"/>
          <w:sz w:val="24"/>
          <w:szCs w:val="20"/>
          <w:lang w:eastAsia="zh-CN"/>
        </w:rPr>
        <w:t>。</w:t>
      </w:r>
      <w:bookmarkEnd w:id="71"/>
      <w:bookmarkEnd w:id="72"/>
      <w:bookmarkEnd w:id="73"/>
      <w:bookmarkEnd w:id="74"/>
    </w:p>
    <w:p w14:paraId="0F3E24D7">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响应文件递交方式及要求：本项目只接受以邮寄（快递）的方式递交响应文件，申请人应在响应文件递交截止时间前将响应文件邮寄（快递）给比选人指定联系人，且应于截止日期前将邮寄（快递）回执照片发送至比选人指定联系邮箱。逾期邮寄或发送的，比选人将不予受理。</w:t>
      </w:r>
    </w:p>
    <w:p w14:paraId="0E87BC85">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75" w:name="_Toc19827"/>
      <w:bookmarkStart w:id="76" w:name="_Toc10419"/>
      <w:bookmarkStart w:id="77" w:name="_Toc6232"/>
      <w:bookmarkStart w:id="78" w:name="_Toc3410"/>
      <w:r>
        <w:rPr>
          <w:rFonts w:hint="default" w:ascii="Times New Roman" w:hAnsi="Times New Roman" w:eastAsia="仿宋_GB2312" w:cs="Times New Roman"/>
          <w:sz w:val="24"/>
          <w:szCs w:val="20"/>
          <w:lang w:val="en-US" w:eastAsia="zh-CN"/>
        </w:rPr>
        <w:t>3.比选会时间：2025年4月1</w:t>
      </w:r>
      <w:r>
        <w:rPr>
          <w:rFonts w:hint="eastAsia" w:ascii="Times New Roman" w:eastAsia="仿宋_GB2312" w:cs="Times New Roman"/>
          <w:sz w:val="24"/>
          <w:szCs w:val="20"/>
          <w:lang w:val="en-US" w:eastAsia="zh-CN"/>
        </w:rPr>
        <w:t>8</w:t>
      </w:r>
      <w:r>
        <w:rPr>
          <w:rFonts w:hint="default" w:ascii="Times New Roman" w:hAnsi="Times New Roman" w:eastAsia="仿宋_GB2312" w:cs="Times New Roman"/>
          <w:sz w:val="24"/>
          <w:szCs w:val="20"/>
          <w:lang w:val="en-US" w:eastAsia="zh-CN"/>
        </w:rPr>
        <w:t>日</w:t>
      </w:r>
      <w:r>
        <w:rPr>
          <w:rFonts w:hint="eastAsia" w:ascii="Times New Roman" w:eastAsia="仿宋_GB2312" w:cs="Times New Roman"/>
          <w:sz w:val="24"/>
          <w:szCs w:val="20"/>
          <w:lang w:val="en-US" w:eastAsia="zh-CN"/>
        </w:rPr>
        <w:t>11</w:t>
      </w:r>
      <w:r>
        <w:rPr>
          <w:rFonts w:hint="default" w:ascii="Times New Roman" w:hAnsi="Times New Roman" w:eastAsia="仿宋_GB2312" w:cs="Times New Roman"/>
          <w:sz w:val="24"/>
          <w:szCs w:val="20"/>
          <w:lang w:val="en-US" w:eastAsia="zh-CN"/>
        </w:rPr>
        <w:t>时30分。</w:t>
      </w:r>
      <w:bookmarkEnd w:id="75"/>
      <w:bookmarkEnd w:id="76"/>
      <w:bookmarkEnd w:id="77"/>
      <w:bookmarkEnd w:id="78"/>
    </w:p>
    <w:p w14:paraId="7594AA04">
      <w:pPr>
        <w:keepNext w:val="0"/>
        <w:keepLines w:val="0"/>
        <w:pageBreakBefore w:val="0"/>
        <w:widowControl/>
        <w:numPr>
          <w:ilvl w:val="-1"/>
          <w:numId w:val="0"/>
        </w:numPr>
        <w:tabs>
          <w:tab w:val="left" w:pos="7665"/>
        </w:tabs>
        <w:kinsoku/>
        <w:wordWrap/>
        <w:overflowPunct/>
        <w:topLinePunct w:val="0"/>
        <w:autoSpaceDE/>
        <w:autoSpaceDN/>
        <w:bidi w:val="0"/>
        <w:adjustRightInd/>
        <w:snapToGrid/>
        <w:spacing w:line="560" w:lineRule="exact"/>
        <w:ind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79" w:name="_Toc7555"/>
      <w:bookmarkStart w:id="80" w:name="_Toc28671"/>
      <w:bookmarkStart w:id="81" w:name="_Toc20019"/>
      <w:bookmarkStart w:id="82" w:name="_Toc13531"/>
      <w:bookmarkStart w:id="83" w:name="_Toc3407"/>
      <w:r>
        <w:rPr>
          <w:rFonts w:hint="default" w:ascii="Times New Roman" w:hAnsi="Times New Roman" w:eastAsia="黑体" w:cs="Times New Roman"/>
          <w:b w:val="0"/>
          <w:bCs w:val="0"/>
          <w:sz w:val="24"/>
          <w:szCs w:val="20"/>
          <w:lang w:val="en-US" w:eastAsia="zh-CN"/>
        </w:rPr>
        <w:t>八、比选公告的发布</w:t>
      </w:r>
      <w:bookmarkEnd w:id="79"/>
      <w:bookmarkEnd w:id="80"/>
      <w:bookmarkEnd w:id="81"/>
      <w:bookmarkEnd w:id="82"/>
      <w:bookmarkEnd w:id="83"/>
    </w:p>
    <w:p w14:paraId="60DB9260">
      <w:pPr>
        <w:keepNext w:val="0"/>
        <w:keepLines w:val="0"/>
        <w:pageBreakBefore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sz w:val="24"/>
          <w:szCs w:val="20"/>
        </w:rPr>
      </w:pPr>
      <w:r>
        <w:rPr>
          <w:rFonts w:hint="default" w:ascii="Times New Roman" w:hAnsi="Times New Roman" w:eastAsia="仿宋_GB2312" w:cs="Times New Roman"/>
          <w:b w:val="0"/>
          <w:bCs w:val="0"/>
          <w:sz w:val="24"/>
          <w:szCs w:val="20"/>
        </w:rPr>
        <w:t>本</w:t>
      </w:r>
      <w:r>
        <w:rPr>
          <w:rFonts w:hint="default" w:ascii="Times New Roman" w:hAnsi="Times New Roman" w:eastAsia="仿宋_GB2312" w:cs="Times New Roman"/>
          <w:b w:val="0"/>
          <w:bCs w:val="0"/>
          <w:sz w:val="24"/>
          <w:szCs w:val="20"/>
          <w:lang w:val="en-US" w:eastAsia="zh-CN"/>
        </w:rPr>
        <w:t>比选</w:t>
      </w:r>
      <w:r>
        <w:rPr>
          <w:rFonts w:hint="default" w:ascii="Times New Roman" w:hAnsi="Times New Roman" w:eastAsia="仿宋_GB2312" w:cs="Times New Roman"/>
          <w:b w:val="0"/>
          <w:bCs w:val="0"/>
          <w:sz w:val="24"/>
          <w:szCs w:val="20"/>
        </w:rPr>
        <w:t>结果将在</w:t>
      </w:r>
      <w:r>
        <w:rPr>
          <w:rFonts w:hint="default" w:ascii="Times New Roman" w:hAnsi="Times New Roman" w:eastAsia="仿宋_GB2312" w:cs="Times New Roman"/>
          <w:b w:val="0"/>
          <w:bCs w:val="0"/>
          <w:sz w:val="24"/>
          <w:szCs w:val="20"/>
          <w:lang w:eastAsia="zh-CN"/>
        </w:rPr>
        <w:t>中国农业科学院都市农业研究所官网</w:t>
      </w:r>
      <w:r>
        <w:rPr>
          <w:rFonts w:hint="default" w:ascii="Times New Roman" w:hAnsi="Times New Roman" w:eastAsia="仿宋_GB2312" w:cs="Times New Roman"/>
          <w:b w:val="0"/>
          <w:bCs w:val="0"/>
          <w:sz w:val="24"/>
          <w:szCs w:val="20"/>
          <w:lang w:val="en-US" w:eastAsia="zh-CN"/>
        </w:rPr>
        <w:t>公示</w:t>
      </w:r>
      <w:r>
        <w:rPr>
          <w:rFonts w:hint="default" w:ascii="Times New Roman" w:hAnsi="Times New Roman" w:eastAsia="仿宋_GB2312" w:cs="Times New Roman"/>
          <w:b w:val="0"/>
          <w:bCs w:val="0"/>
          <w:sz w:val="24"/>
          <w:szCs w:val="20"/>
        </w:rPr>
        <w:t>。</w:t>
      </w:r>
    </w:p>
    <w:p w14:paraId="2DD2B30E">
      <w:pPr>
        <w:keepNext w:val="0"/>
        <w:keepLines w:val="0"/>
        <w:pageBreakBefore w:val="0"/>
        <w:widowControl/>
        <w:numPr>
          <w:ilvl w:val="-1"/>
          <w:numId w:val="0"/>
        </w:numPr>
        <w:tabs>
          <w:tab w:val="left" w:pos="7665"/>
        </w:tabs>
        <w:kinsoku/>
        <w:wordWrap/>
        <w:overflowPunct/>
        <w:topLinePunct w:val="0"/>
        <w:autoSpaceDE/>
        <w:autoSpaceDN/>
        <w:bidi w:val="0"/>
        <w:adjustRightInd/>
        <w:snapToGrid/>
        <w:spacing w:line="560" w:lineRule="exact"/>
        <w:ind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84" w:name="_Toc19970"/>
      <w:bookmarkStart w:id="85" w:name="_Toc18009"/>
      <w:bookmarkStart w:id="86" w:name="_Toc14835"/>
      <w:bookmarkStart w:id="87" w:name="_Toc3249"/>
      <w:bookmarkStart w:id="88" w:name="_Toc5448"/>
      <w:r>
        <w:rPr>
          <w:rFonts w:hint="default" w:ascii="Times New Roman" w:hAnsi="Times New Roman" w:eastAsia="黑体" w:cs="Times New Roman"/>
          <w:b w:val="0"/>
          <w:bCs w:val="0"/>
          <w:sz w:val="24"/>
          <w:szCs w:val="20"/>
          <w:lang w:val="en-US" w:eastAsia="zh-CN"/>
        </w:rPr>
        <w:t>九、联系方式</w:t>
      </w:r>
      <w:bookmarkEnd w:id="84"/>
      <w:bookmarkEnd w:id="85"/>
      <w:bookmarkEnd w:id="86"/>
      <w:bookmarkEnd w:id="87"/>
      <w:bookmarkEnd w:id="88"/>
    </w:p>
    <w:p w14:paraId="243D1FEC">
      <w:pPr>
        <w:keepNext w:val="0"/>
        <w:keepLines w:val="0"/>
        <w:pageBreakBefore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sz w:val="24"/>
          <w:szCs w:val="20"/>
        </w:rPr>
      </w:pPr>
      <w:r>
        <w:rPr>
          <w:rFonts w:hint="default" w:ascii="Times New Roman" w:hAnsi="Times New Roman" w:eastAsia="仿宋_GB2312" w:cs="Times New Roman"/>
          <w:b w:val="0"/>
          <w:bCs w:val="0"/>
          <w:sz w:val="24"/>
          <w:szCs w:val="20"/>
        </w:rPr>
        <w:t>采购人：</w:t>
      </w:r>
      <w:r>
        <w:rPr>
          <w:rFonts w:hint="default" w:ascii="Times New Roman" w:hAnsi="Times New Roman" w:eastAsia="仿宋_GB2312" w:cs="Times New Roman"/>
          <w:sz w:val="24"/>
          <w:szCs w:val="20"/>
          <w:u w:val="none"/>
        </w:rPr>
        <w:t>成都农业科技中心</w:t>
      </w:r>
    </w:p>
    <w:p w14:paraId="3EC1D905">
      <w:pPr>
        <w:keepNext w:val="0"/>
        <w:keepLines w:val="0"/>
        <w:pageBreakBefore w:val="0"/>
        <w:tabs>
          <w:tab w:val="left" w:pos="7665"/>
        </w:tabs>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szCs w:val="20"/>
        </w:rPr>
      </w:pPr>
      <w:r>
        <w:rPr>
          <w:rFonts w:hint="default" w:ascii="Times New Roman" w:hAnsi="Times New Roman" w:eastAsia="仿宋_GB2312" w:cs="Times New Roman"/>
          <w:b w:val="0"/>
          <w:bCs w:val="0"/>
          <w:sz w:val="24"/>
          <w:szCs w:val="20"/>
        </w:rPr>
        <w:t>地址：</w:t>
      </w:r>
      <w:r>
        <w:rPr>
          <w:rFonts w:hint="default" w:ascii="Times New Roman" w:hAnsi="Times New Roman" w:eastAsia="仿宋_GB2312" w:cs="Times New Roman"/>
          <w:sz w:val="24"/>
          <w:szCs w:val="20"/>
        </w:rPr>
        <w:t>四川省成都市天府新区蜡梓东街36号国家成都农业科技中心</w:t>
      </w:r>
    </w:p>
    <w:p w14:paraId="680C342A">
      <w:pPr>
        <w:keepNext w:val="0"/>
        <w:keepLines w:val="0"/>
        <w:pageBreakBefore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sz w:val="24"/>
          <w:szCs w:val="20"/>
          <w:lang w:val="en-US"/>
        </w:rPr>
      </w:pPr>
      <w:r>
        <w:rPr>
          <w:rFonts w:hint="default" w:ascii="Times New Roman" w:hAnsi="Times New Roman" w:eastAsia="仿宋_GB2312" w:cs="Times New Roman"/>
          <w:b w:val="0"/>
          <w:bCs w:val="0"/>
          <w:sz w:val="24"/>
          <w:szCs w:val="20"/>
          <w:lang w:val="en-US" w:eastAsia="zh-CN"/>
        </w:rPr>
        <w:t>联系人：王老师</w:t>
      </w:r>
    </w:p>
    <w:p w14:paraId="798291A2">
      <w:pPr>
        <w:keepNext w:val="0"/>
        <w:keepLines w:val="0"/>
        <w:pageBreakBefore w:val="0"/>
        <w:tabs>
          <w:tab w:val="left" w:pos="7665"/>
        </w:tabs>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b w:val="0"/>
          <w:bCs w:val="0"/>
          <w:sz w:val="24"/>
          <w:szCs w:val="20"/>
        </w:rPr>
        <w:t>电话：</w:t>
      </w:r>
      <w:r>
        <w:rPr>
          <w:rFonts w:hint="default" w:ascii="Times New Roman" w:hAnsi="Times New Roman" w:eastAsia="仿宋_GB2312" w:cs="Times New Roman"/>
          <w:b w:val="0"/>
          <w:bCs w:val="0"/>
          <w:sz w:val="24"/>
          <w:szCs w:val="20"/>
          <w:lang w:val="en-US" w:eastAsia="zh-CN"/>
        </w:rPr>
        <w:t>028-</w:t>
      </w:r>
      <w:r>
        <w:rPr>
          <w:rFonts w:hint="default" w:ascii="Times New Roman" w:hAnsi="Times New Roman" w:eastAsia="仿宋_GB2312" w:cs="Times New Roman"/>
          <w:sz w:val="24"/>
          <w:szCs w:val="20"/>
          <w:lang w:val="en-US" w:eastAsia="zh-CN"/>
        </w:rPr>
        <w:t>80203196</w:t>
      </w:r>
    </w:p>
    <w:p w14:paraId="6EA06004">
      <w:pPr>
        <w:keepNext w:val="0"/>
        <w:keepLines w:val="0"/>
        <w:pageBreakBefore w:val="0"/>
        <w:tabs>
          <w:tab w:val="left" w:pos="7665"/>
        </w:tabs>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 w:cs="Times New Roman"/>
          <w:b/>
        </w:rPr>
      </w:pPr>
      <w:r>
        <w:rPr>
          <w:rFonts w:hint="default" w:ascii="Times New Roman" w:hAnsi="Times New Roman" w:eastAsia="仿宋_GB2312" w:cs="Times New Roman"/>
          <w:sz w:val="24"/>
          <w:szCs w:val="20"/>
          <w:lang w:val="en-US" w:eastAsia="zh-CN"/>
        </w:rPr>
        <w:t>邮箱：dushisuozhc@caas.cn</w:t>
      </w:r>
    </w:p>
    <w:p w14:paraId="4D2A3C91">
      <w:pPr>
        <w:pStyle w:val="30"/>
        <w:spacing w:after="50" w:afterAutospacing="0" w:line="420" w:lineRule="exact"/>
        <w:ind w:firstLine="3975" w:firstLineChars="2200"/>
        <w:rPr>
          <w:rFonts w:hint="default" w:ascii="Times New Roman" w:hAnsi="Times New Roman" w:eastAsia="仿宋" w:cs="Times New Roman"/>
          <w:b/>
        </w:rPr>
        <w:sectPr>
          <w:headerReference r:id="rId6" w:type="default"/>
          <w:footerReference r:id="rId7" w:type="default"/>
          <w:type w:val="nextColumn"/>
          <w:pgSz w:w="11907" w:h="16840"/>
          <w:pgMar w:top="1440" w:right="1800" w:bottom="1440" w:left="1800" w:header="468" w:footer="992" w:gutter="0"/>
          <w:pgBorders>
            <w:top w:val="none" w:sz="0" w:space="0"/>
            <w:left w:val="none" w:sz="0" w:space="0"/>
            <w:bottom w:val="none" w:sz="0" w:space="0"/>
            <w:right w:val="none" w:sz="0" w:space="0"/>
          </w:pgBorders>
          <w:pgNumType w:fmt="decimal" w:start="1"/>
          <w:cols w:space="720" w:num="1"/>
          <w:docGrid w:linePitch="312" w:charSpace="0"/>
        </w:sectPr>
      </w:pPr>
    </w:p>
    <w:p w14:paraId="429A65DC">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outlineLvl w:val="0"/>
        <w:rPr>
          <w:rFonts w:hint="default" w:ascii="Times New Roman" w:hAnsi="Times New Roman" w:eastAsia="方正公文小标宋" w:cs="Times New Roman"/>
          <w:sz w:val="32"/>
          <w:szCs w:val="32"/>
        </w:rPr>
      </w:pPr>
      <w:bookmarkStart w:id="89" w:name="_Toc13688"/>
      <w:bookmarkStart w:id="90" w:name="_Toc213496267"/>
      <w:bookmarkStart w:id="91" w:name="_Toc213396759"/>
      <w:bookmarkStart w:id="92" w:name="_Toc213397009"/>
      <w:bookmarkStart w:id="93" w:name="_Toc57726980"/>
      <w:bookmarkStart w:id="94" w:name="_Toc217446031"/>
      <w:bookmarkStart w:id="95" w:name="_Toc213396945"/>
      <w:bookmarkStart w:id="96" w:name="_Toc89075871"/>
      <w:bookmarkStart w:id="97" w:name="_Toc77400776"/>
      <w:bookmarkStart w:id="98" w:name="_Toc183682339"/>
      <w:bookmarkStart w:id="99" w:name="_Toc183582202"/>
      <w:r>
        <w:rPr>
          <w:rFonts w:hint="default" w:ascii="Times New Roman" w:hAnsi="Times New Roman" w:eastAsia="方正公文小标宋" w:cs="Times New Roman"/>
          <w:sz w:val="32"/>
          <w:szCs w:val="32"/>
          <w:lang w:val="en-US" w:eastAsia="zh-CN"/>
        </w:rPr>
        <w:t xml:space="preserve"> </w:t>
      </w:r>
      <w:bookmarkStart w:id="100" w:name="_Toc1542"/>
      <w:bookmarkStart w:id="101" w:name="_Toc1795"/>
      <w:bookmarkStart w:id="102" w:name="_Toc28566"/>
      <w:bookmarkStart w:id="103" w:name="_Toc10373"/>
      <w:bookmarkStart w:id="104" w:name="_Toc21383"/>
      <w:bookmarkStart w:id="105" w:name="_Toc27278"/>
      <w:r>
        <w:rPr>
          <w:rFonts w:hint="default" w:ascii="Times New Roman" w:hAnsi="Times New Roman" w:eastAsia="方正公文小标宋" w:cs="Times New Roman"/>
          <w:sz w:val="32"/>
          <w:szCs w:val="32"/>
        </w:rPr>
        <w:t>比选须知</w:t>
      </w:r>
      <w:bookmarkEnd w:id="89"/>
      <w:bookmarkEnd w:id="90"/>
      <w:bookmarkEnd w:id="91"/>
      <w:bookmarkEnd w:id="92"/>
      <w:bookmarkEnd w:id="93"/>
      <w:bookmarkEnd w:id="94"/>
      <w:bookmarkEnd w:id="95"/>
      <w:bookmarkEnd w:id="100"/>
      <w:bookmarkEnd w:id="101"/>
      <w:bookmarkEnd w:id="102"/>
      <w:bookmarkEnd w:id="103"/>
      <w:bookmarkEnd w:id="104"/>
      <w:bookmarkEnd w:id="105"/>
      <w:bookmarkStart w:id="106" w:name="_Toc184283909"/>
      <w:bookmarkStart w:id="107" w:name="_Toc184274915"/>
    </w:p>
    <w:p w14:paraId="26E4B004">
      <w:pPr>
        <w:keepNext w:val="0"/>
        <w:keepLines w:val="0"/>
        <w:pageBreakBefore w:val="0"/>
        <w:widowControl/>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vertAlign w:val="baseline"/>
          <w:lang w:val="en-US" w:eastAsia="zh-CN"/>
        </w:rPr>
      </w:pPr>
      <w:bookmarkStart w:id="108" w:name="_Toc7446"/>
      <w:bookmarkStart w:id="109" w:name="_Toc1366"/>
      <w:bookmarkStart w:id="110" w:name="_Toc10221"/>
      <w:bookmarkStart w:id="111" w:name="_Toc18056"/>
      <w:r>
        <w:rPr>
          <w:rFonts w:hint="default" w:ascii="Times New Roman" w:hAnsi="Times New Roman" w:eastAsia="黑体" w:cs="Times New Roman"/>
          <w:b w:val="0"/>
          <w:bCs w:val="0"/>
          <w:sz w:val="24"/>
          <w:szCs w:val="20"/>
          <w:lang w:val="en-US" w:eastAsia="zh-CN"/>
        </w:rPr>
        <w:t>一、申请人须知附表</w:t>
      </w:r>
      <w:bookmarkEnd w:id="108"/>
      <w:bookmarkEnd w:id="109"/>
      <w:bookmarkEnd w:id="110"/>
      <w:bookmarkEnd w:id="111"/>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913"/>
        <w:gridCol w:w="6349"/>
      </w:tblGrid>
      <w:tr w14:paraId="523E9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shd w:val="clear" w:color="auto" w:fill="auto"/>
            <w:vAlign w:val="center"/>
          </w:tcPr>
          <w:p w14:paraId="1035886C">
            <w:pPr>
              <w:pStyle w:val="54"/>
              <w:spacing w:before="80" w:after="80" w:line="240" w:lineRule="auto"/>
              <w:ind w:left="9" w:leftChars="0"/>
              <w:jc w:val="center"/>
              <w:rPr>
                <w:rFonts w:hint="default" w:ascii="Times New Roman" w:hAnsi="Times New Roman" w:eastAsia="黑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lang w:val="zh-CN"/>
                <w14:textFill>
                  <w14:solidFill>
                    <w14:schemeClr w14:val="tx1"/>
                  </w14:solidFill>
                </w14:textFill>
              </w:rPr>
              <w:t>序号</w:t>
            </w:r>
          </w:p>
        </w:tc>
        <w:tc>
          <w:tcPr>
            <w:tcW w:w="1913" w:type="dxa"/>
            <w:tcBorders>
              <w:tl2br w:val="nil"/>
              <w:tr2bl w:val="nil"/>
            </w:tcBorders>
            <w:shd w:val="clear" w:color="auto" w:fill="auto"/>
            <w:vAlign w:val="center"/>
          </w:tcPr>
          <w:p w14:paraId="5ADA9E11">
            <w:pPr>
              <w:pStyle w:val="54"/>
              <w:spacing w:before="80" w:after="80" w:line="240" w:lineRule="auto"/>
              <w:ind w:left="38" w:leftChars="0"/>
              <w:jc w:val="center"/>
              <w:rPr>
                <w:rFonts w:hint="default" w:ascii="Times New Roman" w:hAnsi="Times New Roman" w:eastAsia="黑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lang w:val="zh-CN"/>
                <w14:textFill>
                  <w14:solidFill>
                    <w14:schemeClr w14:val="tx1"/>
                  </w14:solidFill>
                </w14:textFill>
              </w:rPr>
              <w:t>应知事项</w:t>
            </w:r>
          </w:p>
        </w:tc>
        <w:tc>
          <w:tcPr>
            <w:tcW w:w="6349" w:type="dxa"/>
            <w:tcBorders>
              <w:tl2br w:val="nil"/>
              <w:tr2bl w:val="nil"/>
            </w:tcBorders>
            <w:shd w:val="clear" w:color="auto" w:fill="auto"/>
            <w:vAlign w:val="center"/>
          </w:tcPr>
          <w:p w14:paraId="6934474B">
            <w:pPr>
              <w:pStyle w:val="54"/>
              <w:spacing w:before="80" w:after="80" w:line="240" w:lineRule="auto"/>
              <w:jc w:val="center"/>
              <w:rPr>
                <w:rFonts w:hint="default" w:ascii="Times New Roman" w:hAnsi="Times New Roman" w:eastAsia="黑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lang w:val="zh-CN"/>
                <w14:textFill>
                  <w14:solidFill>
                    <w14:schemeClr w14:val="tx1"/>
                  </w14:solidFill>
                </w14:textFill>
              </w:rPr>
              <w:t>说明和要求</w:t>
            </w:r>
          </w:p>
        </w:tc>
      </w:tr>
      <w:tr w14:paraId="32832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4E3E495A">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w:t>
            </w:r>
          </w:p>
        </w:tc>
        <w:tc>
          <w:tcPr>
            <w:tcW w:w="1913" w:type="dxa"/>
            <w:tcBorders>
              <w:tl2br w:val="nil"/>
              <w:tr2bl w:val="nil"/>
            </w:tcBorders>
            <w:shd w:val="clear" w:color="auto" w:fill="auto"/>
            <w:vAlign w:val="center"/>
          </w:tcPr>
          <w:p w14:paraId="741BDD3F">
            <w:pPr>
              <w:pStyle w:val="54"/>
              <w:spacing w:before="80" w:after="80" w:line="240" w:lineRule="auto"/>
              <w:ind w:left="38"/>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zh-CN"/>
                <w14:textFill>
                  <w14:solidFill>
                    <w14:schemeClr w14:val="tx1"/>
                  </w14:solidFill>
                </w14:textFill>
              </w:rPr>
              <w:t>比选人</w:t>
            </w:r>
          </w:p>
        </w:tc>
        <w:tc>
          <w:tcPr>
            <w:tcW w:w="6349" w:type="dxa"/>
            <w:tcBorders>
              <w:tl2br w:val="nil"/>
              <w:tr2bl w:val="nil"/>
            </w:tcBorders>
            <w:shd w:val="clear" w:color="auto" w:fill="auto"/>
            <w:vAlign w:val="center"/>
          </w:tcPr>
          <w:p w14:paraId="35356B49">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zh-CN"/>
                <w14:textFill>
                  <w14:solidFill>
                    <w14:schemeClr w14:val="tx1"/>
                  </w14:solidFill>
                </w14:textFill>
              </w:rPr>
              <w:t>比</w:t>
            </w: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选人：成都农业科技中心</w:t>
            </w:r>
          </w:p>
          <w:p w14:paraId="0EC55721">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地  址：四川省成都市天府新区蜡梓东街36号成都农业科技中心</w:t>
            </w:r>
          </w:p>
          <w:p w14:paraId="631D3FC9">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联系人：王老师</w:t>
            </w:r>
          </w:p>
          <w:p w14:paraId="520BA74C">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电  话：18080985362</w:t>
            </w:r>
          </w:p>
        </w:tc>
      </w:tr>
      <w:tr w14:paraId="7E7A3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19C35592">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2</w:t>
            </w:r>
          </w:p>
        </w:tc>
        <w:tc>
          <w:tcPr>
            <w:tcW w:w="1913" w:type="dxa"/>
            <w:tcBorders>
              <w:tl2br w:val="nil"/>
              <w:tr2bl w:val="nil"/>
            </w:tcBorders>
            <w:shd w:val="clear" w:color="auto" w:fill="auto"/>
            <w:vAlign w:val="center"/>
          </w:tcPr>
          <w:p w14:paraId="2F868C04">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项目名称</w:t>
            </w:r>
          </w:p>
        </w:tc>
        <w:tc>
          <w:tcPr>
            <w:tcW w:w="6349" w:type="dxa"/>
            <w:tcBorders>
              <w:tl2br w:val="nil"/>
              <w:tr2bl w:val="nil"/>
            </w:tcBorders>
            <w:shd w:val="clear" w:color="auto" w:fill="auto"/>
            <w:vAlign w:val="center"/>
          </w:tcPr>
          <w:p w14:paraId="0E8FAE25">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成都农业科技中心成果展示馆改造项目</w:t>
            </w:r>
          </w:p>
        </w:tc>
      </w:tr>
      <w:tr w14:paraId="759B4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2DD15377">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3</w:t>
            </w:r>
          </w:p>
        </w:tc>
        <w:tc>
          <w:tcPr>
            <w:tcW w:w="1913" w:type="dxa"/>
            <w:tcBorders>
              <w:tl2br w:val="nil"/>
              <w:tr2bl w:val="nil"/>
            </w:tcBorders>
          </w:tcPr>
          <w:p w14:paraId="77B27C53">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比选编号</w:t>
            </w:r>
          </w:p>
        </w:tc>
        <w:tc>
          <w:tcPr>
            <w:tcW w:w="6349" w:type="dxa"/>
            <w:tcBorders>
              <w:tl2br w:val="nil"/>
              <w:tr2bl w:val="nil"/>
            </w:tcBorders>
            <w:vAlign w:val="center"/>
          </w:tcPr>
          <w:p w14:paraId="4234FD40">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2025040</w:t>
            </w:r>
            <w:r>
              <w:rPr>
                <w:rFonts w:hint="eastAsia" w:ascii="Times New Roman" w:hAnsi="Times New Roman" w:eastAsia="仿宋_GB2312" w:cs="Times New Roman"/>
                <w:color w:val="000000" w:themeColor="text1"/>
                <w:sz w:val="21"/>
                <w:szCs w:val="21"/>
                <w:lang w:val="en-US" w:eastAsia="zh-CN" w:bidi="ar-SA"/>
                <w14:textFill>
                  <w14:solidFill>
                    <w14:schemeClr w14:val="tx1"/>
                  </w14:solidFill>
                </w14:textFill>
              </w:rPr>
              <w:t>2</w:t>
            </w:r>
          </w:p>
        </w:tc>
      </w:tr>
      <w:tr w14:paraId="08498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23515A30">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4</w:t>
            </w:r>
          </w:p>
        </w:tc>
        <w:tc>
          <w:tcPr>
            <w:tcW w:w="1913" w:type="dxa"/>
            <w:tcBorders>
              <w:tl2br w:val="nil"/>
              <w:tr2bl w:val="nil"/>
            </w:tcBorders>
            <w:vAlign w:val="center"/>
          </w:tcPr>
          <w:p w14:paraId="332091E4">
            <w:pPr>
              <w:pStyle w:val="54"/>
              <w:spacing w:before="80" w:after="80" w:line="240" w:lineRule="auto"/>
              <w:ind w:left="38"/>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14:textFill>
                  <w14:solidFill>
                    <w14:schemeClr w14:val="tx1"/>
                  </w14:solidFill>
                </w14:textFill>
              </w:rPr>
              <w:t>比选范围</w:t>
            </w:r>
          </w:p>
        </w:tc>
        <w:tc>
          <w:tcPr>
            <w:tcW w:w="6349" w:type="dxa"/>
            <w:tcBorders>
              <w:tl2br w:val="nil"/>
              <w:tr2bl w:val="nil"/>
            </w:tcBorders>
            <w:vAlign w:val="center"/>
          </w:tcPr>
          <w:p w14:paraId="3DB4E15F">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比选人提供的《成都农业科技中心成果展示馆改造项目施工图》所包含的的全部工程内容。</w:t>
            </w:r>
          </w:p>
        </w:tc>
      </w:tr>
      <w:tr w14:paraId="0946E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3E31F37E">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5</w:t>
            </w:r>
          </w:p>
        </w:tc>
        <w:tc>
          <w:tcPr>
            <w:tcW w:w="1913" w:type="dxa"/>
            <w:tcBorders>
              <w:tl2br w:val="nil"/>
              <w:tr2bl w:val="nil"/>
            </w:tcBorders>
            <w:shd w:val="clear" w:color="auto" w:fill="auto"/>
            <w:vAlign w:val="top"/>
          </w:tcPr>
          <w:p w14:paraId="0D24836F">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工期要求</w:t>
            </w:r>
          </w:p>
        </w:tc>
        <w:tc>
          <w:tcPr>
            <w:tcW w:w="6349" w:type="dxa"/>
            <w:tcBorders>
              <w:tl2br w:val="nil"/>
              <w:tr2bl w:val="nil"/>
            </w:tcBorders>
            <w:shd w:val="clear" w:color="auto" w:fill="auto"/>
            <w:vAlign w:val="center"/>
          </w:tcPr>
          <w:p w14:paraId="32B6F6AE">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2025年4月30日以前</w:t>
            </w:r>
          </w:p>
        </w:tc>
      </w:tr>
      <w:tr w14:paraId="613B1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14E835BA">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6</w:t>
            </w:r>
          </w:p>
        </w:tc>
        <w:tc>
          <w:tcPr>
            <w:tcW w:w="1913" w:type="dxa"/>
            <w:tcBorders>
              <w:tl2br w:val="nil"/>
              <w:tr2bl w:val="nil"/>
            </w:tcBorders>
            <w:shd w:val="clear" w:color="auto" w:fill="auto"/>
            <w:vAlign w:val="top"/>
          </w:tcPr>
          <w:p w14:paraId="533CC0C0">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质量要求</w:t>
            </w:r>
          </w:p>
        </w:tc>
        <w:tc>
          <w:tcPr>
            <w:tcW w:w="6349" w:type="dxa"/>
            <w:tcBorders>
              <w:tl2br w:val="nil"/>
              <w:tr2bl w:val="nil"/>
            </w:tcBorders>
            <w:shd w:val="clear" w:color="auto" w:fill="auto"/>
            <w:vAlign w:val="center"/>
          </w:tcPr>
          <w:p w14:paraId="754A6614">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达到国家现行有关施工质量验收规范和标准的要求。</w:t>
            </w:r>
          </w:p>
        </w:tc>
      </w:tr>
      <w:tr w14:paraId="706EF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tcBorders>
              <w:tl2br w:val="nil"/>
              <w:tr2bl w:val="nil"/>
            </w:tcBorders>
            <w:vAlign w:val="center"/>
          </w:tcPr>
          <w:p w14:paraId="66839B6D">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7</w:t>
            </w:r>
          </w:p>
        </w:tc>
        <w:tc>
          <w:tcPr>
            <w:tcW w:w="1913" w:type="dxa"/>
            <w:tcBorders>
              <w:tl2br w:val="nil"/>
              <w:tr2bl w:val="nil"/>
            </w:tcBorders>
            <w:shd w:val="clear" w:color="auto" w:fill="auto"/>
            <w:vAlign w:val="center"/>
          </w:tcPr>
          <w:p w14:paraId="3581A42F">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申请人资质条件、能力和信誉</w:t>
            </w:r>
          </w:p>
        </w:tc>
        <w:tc>
          <w:tcPr>
            <w:tcW w:w="6349" w:type="dxa"/>
            <w:tcBorders>
              <w:tl2br w:val="nil"/>
              <w:tr2bl w:val="nil"/>
            </w:tcBorders>
            <w:shd w:val="clear" w:color="auto" w:fill="auto"/>
            <w:vAlign w:val="center"/>
          </w:tcPr>
          <w:p w14:paraId="4C675113">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本项目申请人应具备以下资格条件：</w:t>
            </w:r>
          </w:p>
          <w:p w14:paraId="3FC0F9B3">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1.具有独立承担民事责任的能力；</w:t>
            </w:r>
          </w:p>
          <w:p w14:paraId="72EDF805">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2.具有良好的商业信誉和健全的财务会计制度；</w:t>
            </w:r>
          </w:p>
          <w:p w14:paraId="001D4DEC">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3.具有履行合同所必须的设备和专业技术能力；</w:t>
            </w:r>
          </w:p>
          <w:p w14:paraId="11B47C41">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4.具有依法缴纳税收和社会保障资金的良好记录；</w:t>
            </w:r>
          </w:p>
          <w:p w14:paraId="574B58B4">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5.参加本次采购活动前三年内，在经营活动中没有重大违法记录；</w:t>
            </w:r>
          </w:p>
          <w:p w14:paraId="2FE61954">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6.法律、行政法规规定的其他条件；</w:t>
            </w:r>
          </w:p>
          <w:p w14:paraId="23F8954B">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7.采购人根据采购项目提出的特殊条件：</w:t>
            </w:r>
          </w:p>
          <w:p w14:paraId="32A8633D">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7.1具有行政主管部门颁发的</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装修</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资质</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证书</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w:t>
            </w:r>
          </w:p>
          <w:p w14:paraId="1A5C5E9F">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7.2提供有效的《安全生产许可证》。</w:t>
            </w:r>
          </w:p>
          <w:p w14:paraId="37E5556A">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8.本项目不接受联合体参与。</w:t>
            </w:r>
          </w:p>
        </w:tc>
      </w:tr>
      <w:tr w14:paraId="11AC4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6F2DF72B">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8</w:t>
            </w:r>
          </w:p>
        </w:tc>
        <w:tc>
          <w:tcPr>
            <w:tcW w:w="1913" w:type="dxa"/>
            <w:tcBorders>
              <w:tl2br w:val="nil"/>
              <w:tr2bl w:val="nil"/>
            </w:tcBorders>
            <w:shd w:val="clear" w:color="auto" w:fill="auto"/>
            <w:vAlign w:val="center"/>
          </w:tcPr>
          <w:p w14:paraId="2B8CD5D2">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踏勘现场</w:t>
            </w:r>
          </w:p>
        </w:tc>
        <w:tc>
          <w:tcPr>
            <w:tcW w:w="6349" w:type="dxa"/>
            <w:tcBorders>
              <w:tl2br w:val="nil"/>
              <w:tr2bl w:val="nil"/>
            </w:tcBorders>
            <w:shd w:val="clear" w:color="auto" w:fill="auto"/>
            <w:vAlign w:val="center"/>
          </w:tcPr>
          <w:p w14:paraId="66F55FA3">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不组织</w:t>
            </w:r>
          </w:p>
        </w:tc>
      </w:tr>
      <w:tr w14:paraId="00D88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3BC4257B">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9</w:t>
            </w:r>
          </w:p>
        </w:tc>
        <w:tc>
          <w:tcPr>
            <w:tcW w:w="1913" w:type="dxa"/>
            <w:tcBorders>
              <w:tl2br w:val="nil"/>
              <w:tr2bl w:val="nil"/>
            </w:tcBorders>
            <w:shd w:val="clear" w:color="auto" w:fill="auto"/>
            <w:vAlign w:val="center"/>
          </w:tcPr>
          <w:p w14:paraId="61D74DF7">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申请人提出问题的截止时间</w:t>
            </w:r>
          </w:p>
        </w:tc>
        <w:tc>
          <w:tcPr>
            <w:tcW w:w="6349" w:type="dxa"/>
            <w:tcBorders>
              <w:tl2br w:val="nil"/>
              <w:tr2bl w:val="nil"/>
            </w:tcBorders>
            <w:shd w:val="clear" w:color="auto" w:fill="auto"/>
            <w:vAlign w:val="center"/>
          </w:tcPr>
          <w:p w14:paraId="08806E88">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申请人应仔细检查比选文件的所有内容，如有残缺或文字表述不清，图纸尺寸标注不明以及存在错、漏、缺、概念模糊和有可能出现歧义或理解的偏差的内容等应在2025年4月8日20:00以前以书面形式提交给比选人指定联系人。</w:t>
            </w:r>
          </w:p>
        </w:tc>
      </w:tr>
      <w:tr w14:paraId="4E665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1579EF3A">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10</w:t>
            </w:r>
          </w:p>
        </w:tc>
        <w:tc>
          <w:tcPr>
            <w:tcW w:w="1913" w:type="dxa"/>
            <w:tcBorders>
              <w:tl2br w:val="nil"/>
              <w:tr2bl w:val="nil"/>
            </w:tcBorders>
            <w:shd w:val="clear" w:color="auto" w:fill="auto"/>
            <w:vAlign w:val="center"/>
          </w:tcPr>
          <w:p w14:paraId="51E794B0">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分包</w:t>
            </w:r>
          </w:p>
        </w:tc>
        <w:tc>
          <w:tcPr>
            <w:tcW w:w="6349" w:type="dxa"/>
            <w:tcBorders>
              <w:tl2br w:val="nil"/>
              <w:tr2bl w:val="nil"/>
            </w:tcBorders>
            <w:shd w:val="clear" w:color="auto" w:fill="auto"/>
            <w:vAlign w:val="center"/>
          </w:tcPr>
          <w:p w14:paraId="66DED42C">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不允许</w:t>
            </w:r>
          </w:p>
        </w:tc>
      </w:tr>
      <w:tr w14:paraId="37096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20FACF49">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11</w:t>
            </w:r>
          </w:p>
        </w:tc>
        <w:tc>
          <w:tcPr>
            <w:tcW w:w="1913" w:type="dxa"/>
            <w:tcBorders>
              <w:tl2br w:val="nil"/>
              <w:tr2bl w:val="nil"/>
            </w:tcBorders>
            <w:shd w:val="clear" w:color="auto" w:fill="auto"/>
            <w:vAlign w:val="center"/>
          </w:tcPr>
          <w:p w14:paraId="751CB71F">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比选报价</w:t>
            </w:r>
          </w:p>
        </w:tc>
        <w:tc>
          <w:tcPr>
            <w:tcW w:w="6349" w:type="dxa"/>
            <w:tcBorders>
              <w:tl2br w:val="nil"/>
              <w:tr2bl w:val="nil"/>
            </w:tcBorders>
            <w:shd w:val="clear" w:color="auto" w:fill="auto"/>
            <w:vAlign w:val="center"/>
          </w:tcPr>
          <w:p w14:paraId="6F35E489">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14:textFill>
                  <w14:solidFill>
                    <w14:schemeClr w14:val="tx1"/>
                  </w14:solidFill>
                </w14:textFill>
              </w:rPr>
              <w:t>本项目</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w:t>
            </w:r>
            <w:r>
              <w:rPr>
                <w:rFonts w:hint="default" w:ascii="Times New Roman" w:hAnsi="Times New Roman" w:eastAsia="仿宋_GB2312" w:cs="Times New Roman"/>
                <w:color w:val="000000" w:themeColor="text1"/>
                <w:sz w:val="21"/>
                <w:szCs w:val="21"/>
                <w:lang w:val="zh-CN"/>
                <w14:textFill>
                  <w14:solidFill>
                    <w14:schemeClr w14:val="tx1"/>
                  </w14:solidFill>
                </w14:textFill>
              </w:rPr>
              <w:t>最高限价为：</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9.</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27</w:t>
            </w:r>
            <w:r>
              <w:rPr>
                <w:rFonts w:hint="default" w:ascii="Times New Roman" w:hAnsi="Times New Roman" w:eastAsia="仿宋_GB2312" w:cs="Times New Roman"/>
                <w:color w:val="000000" w:themeColor="text1"/>
                <w:sz w:val="21"/>
                <w:szCs w:val="21"/>
                <w:lang w:val="zh-CN"/>
                <w14:textFill>
                  <w14:solidFill>
                    <w14:schemeClr w14:val="tx1"/>
                  </w14:solidFill>
                </w14:textFill>
              </w:rPr>
              <w:t>万元，</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大写</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叁</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拾玖万贰</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仟柒</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佰元整</w:t>
            </w:r>
            <w:r>
              <w:rPr>
                <w:rFonts w:hint="default" w:ascii="Times New Roman" w:hAnsi="Times New Roman" w:eastAsia="仿宋_GB2312" w:cs="Times New Roman"/>
                <w:color w:val="000000" w:themeColor="text1"/>
                <w:sz w:val="21"/>
                <w:szCs w:val="21"/>
                <w:lang w:val="zh-CN"/>
                <w14:textFill>
                  <w14:solidFill>
                    <w14:schemeClr w14:val="tx1"/>
                  </w14:solidFill>
                </w14:textFill>
              </w:rPr>
              <w:t>。</w:t>
            </w:r>
          </w:p>
        </w:tc>
      </w:tr>
      <w:tr w14:paraId="2330E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48CE1DDA">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12</w:t>
            </w:r>
          </w:p>
        </w:tc>
        <w:tc>
          <w:tcPr>
            <w:tcW w:w="1913" w:type="dxa"/>
            <w:tcBorders>
              <w:tl2br w:val="nil"/>
              <w:tr2bl w:val="nil"/>
            </w:tcBorders>
            <w:shd w:val="clear" w:color="auto" w:fill="auto"/>
            <w:vAlign w:val="center"/>
          </w:tcPr>
          <w:p w14:paraId="1D859A9C">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bidi="ar-SA"/>
                <w14:textFill>
                  <w14:solidFill>
                    <w14:schemeClr w14:val="tx1"/>
                  </w14:solidFill>
                </w14:textFill>
              </w:rPr>
              <w:t>比选有效期</w:t>
            </w:r>
          </w:p>
        </w:tc>
        <w:tc>
          <w:tcPr>
            <w:tcW w:w="6349" w:type="dxa"/>
            <w:tcBorders>
              <w:tl2br w:val="nil"/>
              <w:tr2bl w:val="nil"/>
            </w:tcBorders>
            <w:shd w:val="clear" w:color="auto" w:fill="auto"/>
            <w:vAlign w:val="center"/>
          </w:tcPr>
          <w:p w14:paraId="55FA4C11">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比选截止日后90天。</w:t>
            </w:r>
          </w:p>
        </w:tc>
      </w:tr>
      <w:tr w14:paraId="5E9A8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037DBD41">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13</w:t>
            </w:r>
          </w:p>
        </w:tc>
        <w:tc>
          <w:tcPr>
            <w:tcW w:w="1913" w:type="dxa"/>
            <w:tcBorders>
              <w:tl2br w:val="nil"/>
              <w:tr2bl w:val="nil"/>
            </w:tcBorders>
            <w:shd w:val="clear" w:color="auto" w:fill="auto"/>
            <w:vAlign w:val="center"/>
          </w:tcPr>
          <w:p w14:paraId="1A83D7F3">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比选保证金</w:t>
            </w:r>
          </w:p>
        </w:tc>
        <w:tc>
          <w:tcPr>
            <w:tcW w:w="6349" w:type="dxa"/>
            <w:tcBorders>
              <w:tl2br w:val="nil"/>
              <w:tr2bl w:val="nil"/>
            </w:tcBorders>
            <w:shd w:val="clear" w:color="auto" w:fill="auto"/>
            <w:vAlign w:val="center"/>
          </w:tcPr>
          <w:p w14:paraId="765B08B9">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不收取</w:t>
            </w:r>
          </w:p>
        </w:tc>
      </w:tr>
      <w:tr w14:paraId="41FE0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shd w:val="clear" w:color="auto" w:fill="auto"/>
            <w:vAlign w:val="center"/>
          </w:tcPr>
          <w:p w14:paraId="7E5C2B9F">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14</w:t>
            </w:r>
          </w:p>
        </w:tc>
        <w:tc>
          <w:tcPr>
            <w:tcW w:w="1913" w:type="dxa"/>
            <w:tcBorders>
              <w:tl2br w:val="nil"/>
              <w:tr2bl w:val="nil"/>
            </w:tcBorders>
            <w:shd w:val="clear" w:color="auto" w:fill="auto"/>
            <w:vAlign w:val="center"/>
          </w:tcPr>
          <w:p w14:paraId="5C648921">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签字盖章</w:t>
            </w:r>
          </w:p>
        </w:tc>
        <w:tc>
          <w:tcPr>
            <w:tcW w:w="6349" w:type="dxa"/>
            <w:tcBorders>
              <w:tl2br w:val="nil"/>
              <w:tr2bl w:val="nil"/>
            </w:tcBorders>
            <w:shd w:val="clear" w:color="auto" w:fill="auto"/>
            <w:vAlign w:val="center"/>
          </w:tcPr>
          <w:p w14:paraId="5BEB1B75">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申请人必须按照比选文件的规定</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及格式要求执行。</w:t>
            </w:r>
          </w:p>
        </w:tc>
      </w:tr>
      <w:tr w14:paraId="6481E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shd w:val="clear" w:color="auto" w:fill="auto"/>
            <w:vAlign w:val="center"/>
          </w:tcPr>
          <w:p w14:paraId="23F09CFD">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15</w:t>
            </w:r>
          </w:p>
        </w:tc>
        <w:tc>
          <w:tcPr>
            <w:tcW w:w="1913" w:type="dxa"/>
            <w:tcBorders>
              <w:tl2br w:val="nil"/>
              <w:tr2bl w:val="nil"/>
            </w:tcBorders>
            <w:shd w:val="clear" w:color="auto" w:fill="auto"/>
            <w:vAlign w:val="center"/>
          </w:tcPr>
          <w:p w14:paraId="2B2952BD">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文件份数</w:t>
            </w:r>
          </w:p>
        </w:tc>
        <w:tc>
          <w:tcPr>
            <w:tcW w:w="6349" w:type="dxa"/>
            <w:tcBorders>
              <w:tl2br w:val="nil"/>
              <w:tr2bl w:val="nil"/>
            </w:tcBorders>
            <w:shd w:val="clear" w:color="auto" w:fill="auto"/>
            <w:vAlign w:val="center"/>
          </w:tcPr>
          <w:p w14:paraId="6859FD44">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正本1份、副本</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份</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w:t>
            </w:r>
          </w:p>
        </w:tc>
      </w:tr>
      <w:tr w14:paraId="7FD06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shd w:val="clear" w:color="auto" w:fill="auto"/>
            <w:vAlign w:val="center"/>
          </w:tcPr>
          <w:p w14:paraId="6ABE988D">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16</w:t>
            </w:r>
          </w:p>
        </w:tc>
        <w:tc>
          <w:tcPr>
            <w:tcW w:w="1913" w:type="dxa"/>
            <w:tcBorders>
              <w:tl2br w:val="nil"/>
              <w:tr2bl w:val="nil"/>
            </w:tcBorders>
            <w:shd w:val="clear" w:color="auto" w:fill="auto"/>
            <w:vAlign w:val="center"/>
          </w:tcPr>
          <w:p w14:paraId="531F286A">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文件的装订</w:t>
            </w:r>
          </w:p>
        </w:tc>
        <w:tc>
          <w:tcPr>
            <w:tcW w:w="6349" w:type="dxa"/>
            <w:tcBorders>
              <w:tl2br w:val="nil"/>
              <w:tr2bl w:val="nil"/>
            </w:tcBorders>
            <w:shd w:val="clear" w:color="auto" w:fill="auto"/>
            <w:vAlign w:val="center"/>
          </w:tcPr>
          <w:p w14:paraId="231EBD36">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正本和副本分别装订。</w:t>
            </w:r>
          </w:p>
        </w:tc>
      </w:tr>
      <w:tr w14:paraId="45E68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2F7B6EA8">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17</w:t>
            </w:r>
          </w:p>
        </w:tc>
        <w:tc>
          <w:tcPr>
            <w:tcW w:w="1913" w:type="dxa"/>
            <w:tcBorders>
              <w:tl2br w:val="nil"/>
              <w:tr2bl w:val="nil"/>
            </w:tcBorders>
            <w:vAlign w:val="center"/>
          </w:tcPr>
          <w:p w14:paraId="61EC637E">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文件封面的标注</w:t>
            </w:r>
          </w:p>
        </w:tc>
        <w:tc>
          <w:tcPr>
            <w:tcW w:w="6349" w:type="dxa"/>
            <w:tcBorders>
              <w:tl2br w:val="nil"/>
              <w:tr2bl w:val="nil"/>
            </w:tcBorders>
            <w:shd w:val="clear" w:color="auto" w:fill="auto"/>
            <w:vAlign w:val="center"/>
          </w:tcPr>
          <w:p w14:paraId="0C9E1BAD">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文件正本和副本的封面上均应标明：比选项目名称、申请人名称、年月日；并分别在右上角标明“正本”和“副本”字样。</w:t>
            </w:r>
          </w:p>
        </w:tc>
      </w:tr>
      <w:tr w14:paraId="7F4AB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3" w:type="dxa"/>
            <w:tcBorders>
              <w:tl2br w:val="nil"/>
              <w:tr2bl w:val="nil"/>
            </w:tcBorders>
            <w:vAlign w:val="center"/>
          </w:tcPr>
          <w:p w14:paraId="7D2A927B">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18</w:t>
            </w:r>
          </w:p>
        </w:tc>
        <w:tc>
          <w:tcPr>
            <w:tcW w:w="1913" w:type="dxa"/>
            <w:tcBorders>
              <w:tl2br w:val="nil"/>
              <w:tr2bl w:val="nil"/>
            </w:tcBorders>
            <w:vAlign w:val="center"/>
          </w:tcPr>
          <w:p w14:paraId="7350E2BC">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比选文件外层密封袋的标注</w:t>
            </w:r>
          </w:p>
        </w:tc>
        <w:tc>
          <w:tcPr>
            <w:tcW w:w="6349" w:type="dxa"/>
            <w:tcBorders>
              <w:tl2br w:val="nil"/>
              <w:tr2bl w:val="nil"/>
            </w:tcBorders>
            <w:shd w:val="clear" w:color="auto" w:fill="auto"/>
            <w:vAlign w:val="center"/>
          </w:tcPr>
          <w:p w14:paraId="51D5F11C">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比选项目名称、申请人名称、年月日。</w:t>
            </w:r>
          </w:p>
        </w:tc>
      </w:tr>
      <w:tr w14:paraId="0F3A2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62464187">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19</w:t>
            </w:r>
          </w:p>
        </w:tc>
        <w:tc>
          <w:tcPr>
            <w:tcW w:w="1913" w:type="dxa"/>
            <w:tcBorders>
              <w:tl2br w:val="nil"/>
              <w:tr2bl w:val="nil"/>
            </w:tcBorders>
            <w:vAlign w:val="center"/>
          </w:tcPr>
          <w:p w14:paraId="12CC2767">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递交时间</w:t>
            </w:r>
          </w:p>
        </w:tc>
        <w:tc>
          <w:tcPr>
            <w:tcW w:w="6349" w:type="dxa"/>
            <w:tcBorders>
              <w:tl2br w:val="nil"/>
              <w:tr2bl w:val="nil"/>
            </w:tcBorders>
            <w:shd w:val="clear" w:color="auto" w:fill="auto"/>
            <w:vAlign w:val="center"/>
          </w:tcPr>
          <w:p w14:paraId="2DF2808F">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2025年4月1</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7</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日18时00分截止。</w:t>
            </w:r>
          </w:p>
        </w:tc>
      </w:tr>
      <w:tr w14:paraId="43FF5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63D9E4D8">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20</w:t>
            </w:r>
          </w:p>
        </w:tc>
        <w:tc>
          <w:tcPr>
            <w:tcW w:w="1913" w:type="dxa"/>
            <w:tcBorders>
              <w:tl2br w:val="nil"/>
              <w:tr2bl w:val="nil"/>
            </w:tcBorders>
            <w:vAlign w:val="center"/>
          </w:tcPr>
          <w:p w14:paraId="74C9D807">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比选时间和地点</w:t>
            </w:r>
          </w:p>
        </w:tc>
        <w:tc>
          <w:tcPr>
            <w:tcW w:w="6349" w:type="dxa"/>
            <w:tcBorders>
              <w:tl2br w:val="nil"/>
              <w:tr2bl w:val="nil"/>
            </w:tcBorders>
            <w:shd w:val="clear" w:color="auto" w:fill="auto"/>
            <w:vAlign w:val="center"/>
          </w:tcPr>
          <w:p w14:paraId="407D2C50">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zh-CN"/>
                <w14:textFill>
                  <w14:solidFill>
                    <w14:schemeClr w14:val="tx1"/>
                  </w14:solidFill>
                </w14:textFill>
              </w:rPr>
              <w:t>比</w:t>
            </w: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选时间：</w:t>
            </w:r>
            <w:r>
              <w:rPr>
                <w:rFonts w:hint="default" w:ascii="Times New Roman" w:hAnsi="Times New Roman" w:eastAsia="仿宋_GB2312" w:cs="Times New Roman"/>
                <w:sz w:val="21"/>
                <w:szCs w:val="21"/>
                <w:lang w:val="en-US" w:eastAsia="zh-CN"/>
              </w:rPr>
              <w:t>2025年4月1</w:t>
            </w:r>
            <w:r>
              <w:rPr>
                <w:rFonts w:hint="eastAsia"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val="en-US" w:eastAsia="zh-CN"/>
              </w:rPr>
              <w:t>日</w:t>
            </w:r>
            <w:r>
              <w:rPr>
                <w:rFonts w:hint="eastAsia" w:ascii="Times New Roman" w:hAnsi="Times New Roman" w:eastAsia="仿宋_GB2312" w:cs="Times New Roman"/>
                <w:sz w:val="21"/>
                <w:szCs w:val="21"/>
                <w:lang w:val="en-US" w:eastAsia="zh-CN"/>
              </w:rPr>
              <w:t>11</w:t>
            </w:r>
            <w:r>
              <w:rPr>
                <w:rFonts w:hint="default" w:ascii="Times New Roman" w:hAnsi="Times New Roman" w:eastAsia="仿宋_GB2312" w:cs="Times New Roman"/>
                <w:sz w:val="21"/>
                <w:szCs w:val="21"/>
                <w:lang w:val="en-US" w:eastAsia="zh-CN"/>
              </w:rPr>
              <w:t>时30分</w:t>
            </w:r>
          </w:p>
          <w:p w14:paraId="699F495E">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比选地点：成都农业科技中心215会议室</w:t>
            </w:r>
          </w:p>
        </w:tc>
      </w:tr>
      <w:tr w14:paraId="29797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1C529D9D">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21</w:t>
            </w:r>
          </w:p>
        </w:tc>
        <w:tc>
          <w:tcPr>
            <w:tcW w:w="1913" w:type="dxa"/>
            <w:tcBorders>
              <w:tl2br w:val="nil"/>
              <w:tr2bl w:val="nil"/>
            </w:tcBorders>
            <w:vAlign w:val="center"/>
          </w:tcPr>
          <w:p w14:paraId="1C094794">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质保金</w:t>
            </w:r>
          </w:p>
        </w:tc>
        <w:tc>
          <w:tcPr>
            <w:tcW w:w="6349" w:type="dxa"/>
            <w:tcBorders>
              <w:tl2br w:val="nil"/>
              <w:tr2bl w:val="nil"/>
            </w:tcBorders>
            <w:shd w:val="clear" w:color="auto" w:fill="auto"/>
            <w:vAlign w:val="center"/>
          </w:tcPr>
          <w:p w14:paraId="07C5DEAF">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合同价款3%作为质保金，质保金在采购合同签订后，5个工作日</w:t>
            </w:r>
            <w:r>
              <w:rPr>
                <w:rFonts w:hint="eastAsia" w:ascii="Times New Roman" w:hAnsi="Times New Roman" w:eastAsia="仿宋_GB2312" w:cs="Times New Roman"/>
                <w:color w:val="000000" w:themeColor="text1"/>
                <w:sz w:val="21"/>
                <w:szCs w:val="21"/>
                <w:lang w:val="en-US" w:eastAsia="zh-CN" w:bidi="ar-SA"/>
                <w14:textFill>
                  <w14:solidFill>
                    <w14:schemeClr w14:val="tx1"/>
                  </w14:solidFill>
                </w14:textFill>
              </w:rPr>
              <w:t>由中选人</w:t>
            </w: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汇入成都农业科技中心基本账户（单位名称：成都农业科技中心，账号：5105 0110 6547 0000 0104，开户行名称: 中国建设银行股份有限公司成都自贸试验区分行），质保期满后无质量和售后服务问题，</w:t>
            </w:r>
            <w:r>
              <w:rPr>
                <w:rFonts w:hint="eastAsia" w:ascii="Times New Roman" w:hAnsi="Times New Roman" w:eastAsia="仿宋_GB2312" w:cs="Times New Roman"/>
                <w:color w:val="000000" w:themeColor="text1"/>
                <w:sz w:val="21"/>
                <w:szCs w:val="21"/>
                <w:lang w:val="en-US" w:eastAsia="zh-CN" w:bidi="ar-SA"/>
                <w14:textFill>
                  <w14:solidFill>
                    <w14:schemeClr w14:val="tx1"/>
                  </w14:solidFill>
                </w14:textFill>
              </w:rPr>
              <w:t>比选人</w:t>
            </w: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无息退还。</w:t>
            </w:r>
          </w:p>
        </w:tc>
      </w:tr>
      <w:tr w14:paraId="25555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410DFF01">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22</w:t>
            </w:r>
          </w:p>
        </w:tc>
        <w:tc>
          <w:tcPr>
            <w:tcW w:w="1913" w:type="dxa"/>
            <w:tcBorders>
              <w:tl2br w:val="nil"/>
              <w:tr2bl w:val="nil"/>
            </w:tcBorders>
            <w:vAlign w:val="center"/>
          </w:tcPr>
          <w:p w14:paraId="0C591CF1">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比选结果公示及中选通知书的发放</w:t>
            </w:r>
          </w:p>
        </w:tc>
        <w:tc>
          <w:tcPr>
            <w:tcW w:w="6349" w:type="dxa"/>
            <w:tcBorders>
              <w:tl2br w:val="nil"/>
              <w:tr2bl w:val="nil"/>
            </w:tcBorders>
            <w:shd w:val="clear" w:color="auto" w:fill="auto"/>
            <w:vAlign w:val="center"/>
          </w:tcPr>
          <w:p w14:paraId="402F4770">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结束后，比选人将比选结果在中国农业科学院都市农业研究所官网进行公示，公示时间不少于3天。公示期间若无任何质疑投诉或经调查质疑投诉不成立的，比选人向第一中选人发放中选通知书；若经调查对第一中选候选人的质疑投诉成立的，比选人向第二中选候选人发放中选通知书或重新进行比选。</w:t>
            </w:r>
          </w:p>
        </w:tc>
      </w:tr>
      <w:bookmarkEnd w:id="96"/>
      <w:bookmarkEnd w:id="97"/>
      <w:bookmarkEnd w:id="98"/>
      <w:bookmarkEnd w:id="99"/>
      <w:bookmarkEnd w:id="106"/>
      <w:bookmarkEnd w:id="107"/>
    </w:tbl>
    <w:p w14:paraId="43D0B1A7">
      <w:pPr>
        <w:keepNext w:val="0"/>
        <w:keepLines w:val="0"/>
        <w:pageBreakBefore w:val="0"/>
        <w:widowControl/>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112" w:name="_Toc10507"/>
      <w:bookmarkStart w:id="113" w:name="_Toc183582204"/>
      <w:bookmarkStart w:id="114" w:name="_Toc183682341"/>
      <w:bookmarkStart w:id="115" w:name="_Toc77400778"/>
      <w:bookmarkStart w:id="116" w:name="_Toc217446033"/>
      <w:bookmarkStart w:id="117" w:name="_Toc20480"/>
      <w:bookmarkStart w:id="118" w:name="_Toc14923"/>
      <w:bookmarkStart w:id="119" w:name="_Toc89075873"/>
      <w:bookmarkStart w:id="120" w:name="_Toc26707"/>
      <w:r>
        <w:rPr>
          <w:rFonts w:hint="default" w:ascii="Times New Roman" w:hAnsi="Times New Roman" w:eastAsia="黑体" w:cs="Times New Roman"/>
          <w:b w:val="0"/>
          <w:bCs w:val="0"/>
          <w:sz w:val="24"/>
          <w:szCs w:val="20"/>
          <w:lang w:val="en-US" w:eastAsia="zh-CN"/>
        </w:rPr>
        <w:t>二、总则</w:t>
      </w:r>
      <w:bookmarkEnd w:id="112"/>
      <w:bookmarkEnd w:id="113"/>
      <w:bookmarkEnd w:id="114"/>
      <w:bookmarkEnd w:id="115"/>
      <w:bookmarkEnd w:id="116"/>
      <w:bookmarkEnd w:id="117"/>
      <w:bookmarkEnd w:id="118"/>
      <w:bookmarkEnd w:id="119"/>
      <w:bookmarkEnd w:id="120"/>
    </w:p>
    <w:p w14:paraId="60FA76F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21" w:name="_Toc183582205"/>
      <w:bookmarkStart w:id="122" w:name="_Toc183682342"/>
      <w:bookmarkStart w:id="123" w:name="_Toc2242"/>
      <w:bookmarkStart w:id="124" w:name="_Toc9050"/>
      <w:bookmarkStart w:id="125" w:name="_Toc217446034"/>
      <w:bookmarkStart w:id="126" w:name="_Toc8485"/>
      <w:bookmarkStart w:id="127" w:name="_Toc23968"/>
      <w:bookmarkStart w:id="128" w:name="_Toc9808"/>
      <w:r>
        <w:rPr>
          <w:rFonts w:hint="default" w:ascii="Times New Roman" w:hAnsi="Times New Roman" w:eastAsia="仿宋_GB2312" w:cs="Times New Roman"/>
          <w:b/>
          <w:bCs/>
          <w:sz w:val="24"/>
          <w:szCs w:val="20"/>
          <w:lang w:val="en-US" w:eastAsia="zh-CN"/>
        </w:rPr>
        <w:t>1.</w:t>
      </w:r>
      <w:bookmarkEnd w:id="121"/>
      <w:bookmarkEnd w:id="122"/>
      <w:r>
        <w:rPr>
          <w:rFonts w:hint="default" w:ascii="Times New Roman" w:hAnsi="Times New Roman" w:eastAsia="仿宋_GB2312" w:cs="Times New Roman"/>
          <w:b/>
          <w:bCs/>
          <w:sz w:val="24"/>
          <w:szCs w:val="20"/>
          <w:lang w:val="en-US" w:eastAsia="zh-CN"/>
        </w:rPr>
        <w:t>适用范围</w:t>
      </w:r>
      <w:bookmarkEnd w:id="123"/>
      <w:bookmarkEnd w:id="124"/>
      <w:bookmarkEnd w:id="125"/>
      <w:bookmarkEnd w:id="126"/>
      <w:bookmarkEnd w:id="127"/>
      <w:bookmarkEnd w:id="128"/>
    </w:p>
    <w:p w14:paraId="2509ACA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129" w:name="_Toc3722"/>
      <w:bookmarkStart w:id="130" w:name="_Toc32704"/>
      <w:bookmarkStart w:id="131" w:name="_Toc26634"/>
      <w:r>
        <w:rPr>
          <w:rFonts w:hint="default" w:ascii="Times New Roman" w:hAnsi="Times New Roman" w:eastAsia="仿宋_GB2312" w:cs="Times New Roman"/>
          <w:sz w:val="24"/>
          <w:szCs w:val="20"/>
          <w:lang w:val="en-US" w:eastAsia="zh-CN"/>
        </w:rPr>
        <w:t>1.1本比选文件仅适用于本次公开比选所叙述的项目采购。</w:t>
      </w:r>
      <w:bookmarkEnd w:id="129"/>
      <w:bookmarkEnd w:id="130"/>
      <w:bookmarkEnd w:id="131"/>
    </w:p>
    <w:p w14:paraId="610142D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32" w:name="_Toc217446035"/>
      <w:bookmarkStart w:id="133" w:name="_Toc183582206"/>
      <w:bookmarkStart w:id="134" w:name="_Toc183682343"/>
      <w:bookmarkStart w:id="135" w:name="_Toc25266"/>
      <w:bookmarkStart w:id="136" w:name="_Toc27630"/>
      <w:bookmarkStart w:id="137" w:name="_Toc24434"/>
      <w:bookmarkStart w:id="138" w:name="_Toc18092"/>
      <w:bookmarkStart w:id="139" w:name="_Toc23484"/>
      <w:r>
        <w:rPr>
          <w:rFonts w:hint="default" w:ascii="Times New Roman" w:hAnsi="Times New Roman" w:eastAsia="仿宋_GB2312" w:cs="Times New Roman"/>
          <w:b/>
          <w:bCs/>
          <w:sz w:val="24"/>
          <w:szCs w:val="20"/>
          <w:lang w:val="en-US" w:eastAsia="zh-CN"/>
        </w:rPr>
        <w:t>2.</w:t>
      </w:r>
      <w:bookmarkEnd w:id="132"/>
      <w:bookmarkEnd w:id="133"/>
      <w:bookmarkEnd w:id="134"/>
      <w:bookmarkStart w:id="140" w:name="_Toc183682344"/>
      <w:bookmarkStart w:id="141" w:name="_Toc183582207"/>
      <w:bookmarkStart w:id="142" w:name="_Toc217390843"/>
      <w:bookmarkStart w:id="143" w:name="_Toc217446036"/>
      <w:r>
        <w:rPr>
          <w:rFonts w:hint="default" w:ascii="Times New Roman" w:hAnsi="Times New Roman" w:eastAsia="仿宋_GB2312" w:cs="Times New Roman"/>
          <w:b/>
          <w:bCs/>
          <w:sz w:val="24"/>
          <w:szCs w:val="20"/>
          <w:lang w:val="en-US" w:eastAsia="zh-CN"/>
        </w:rPr>
        <w:t>合格</w:t>
      </w:r>
      <w:bookmarkEnd w:id="140"/>
      <w:bookmarkEnd w:id="141"/>
      <w:bookmarkEnd w:id="142"/>
      <w:bookmarkEnd w:id="143"/>
      <w:r>
        <w:rPr>
          <w:rFonts w:hint="default" w:ascii="Times New Roman" w:hAnsi="Times New Roman" w:eastAsia="仿宋_GB2312" w:cs="Times New Roman"/>
          <w:b/>
          <w:bCs/>
          <w:sz w:val="24"/>
          <w:szCs w:val="20"/>
          <w:lang w:val="en-US" w:eastAsia="zh-CN"/>
        </w:rPr>
        <w:t>的申请人</w:t>
      </w:r>
      <w:bookmarkEnd w:id="135"/>
      <w:bookmarkEnd w:id="136"/>
      <w:bookmarkEnd w:id="137"/>
      <w:bookmarkEnd w:id="138"/>
      <w:bookmarkEnd w:id="139"/>
    </w:p>
    <w:p w14:paraId="20E9FB7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合格的申请人应具备以下条件：</w:t>
      </w:r>
    </w:p>
    <w:p w14:paraId="2241E89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（1）具备“比选邀请”第五条的基本条件；</w:t>
      </w:r>
    </w:p>
    <w:p w14:paraId="00D806D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（2）遵守国家有关的法律、法规和条例；</w:t>
      </w:r>
    </w:p>
    <w:p w14:paraId="18F288E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（3）按照规定获取了采购文件（实质性要求）。</w:t>
      </w:r>
    </w:p>
    <w:p w14:paraId="6A1223B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44" w:name="_Toc21722"/>
      <w:bookmarkStart w:id="145" w:name="_Toc31991"/>
      <w:bookmarkStart w:id="146" w:name="_Toc183682345"/>
      <w:bookmarkStart w:id="147" w:name="_Toc217446037"/>
      <w:bookmarkStart w:id="148" w:name="_Toc183582208"/>
      <w:bookmarkStart w:id="149" w:name="_Toc6104"/>
      <w:bookmarkStart w:id="150" w:name="_Toc18406"/>
      <w:bookmarkStart w:id="151" w:name="_Toc32211"/>
      <w:r>
        <w:rPr>
          <w:rFonts w:hint="default" w:ascii="Times New Roman" w:hAnsi="Times New Roman" w:eastAsia="仿宋_GB2312" w:cs="Times New Roman"/>
          <w:b/>
          <w:bCs/>
          <w:sz w:val="24"/>
          <w:szCs w:val="20"/>
          <w:lang w:val="en-US" w:eastAsia="zh-CN"/>
        </w:rPr>
        <w:t>3.比选费用</w:t>
      </w:r>
      <w:bookmarkEnd w:id="144"/>
      <w:bookmarkEnd w:id="145"/>
      <w:bookmarkEnd w:id="146"/>
      <w:bookmarkEnd w:id="147"/>
      <w:bookmarkEnd w:id="148"/>
      <w:bookmarkEnd w:id="149"/>
      <w:bookmarkEnd w:id="150"/>
      <w:bookmarkEnd w:id="151"/>
    </w:p>
    <w:p w14:paraId="7404305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申请人参加比选的有关费用由申请人自行承担。</w:t>
      </w:r>
      <w:bookmarkStart w:id="152" w:name="_Toc217446046"/>
    </w:p>
    <w:p w14:paraId="65C6441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53" w:name="_Toc9483"/>
      <w:bookmarkStart w:id="154" w:name="_Toc24812"/>
      <w:bookmarkStart w:id="155" w:name="_Toc20006"/>
      <w:bookmarkStart w:id="156" w:name="_Toc21809"/>
      <w:bookmarkStart w:id="157" w:name="_Toc2202"/>
      <w:r>
        <w:rPr>
          <w:rFonts w:hint="default" w:ascii="Times New Roman" w:hAnsi="Times New Roman" w:eastAsia="仿宋_GB2312" w:cs="Times New Roman"/>
          <w:b/>
          <w:bCs/>
          <w:sz w:val="24"/>
          <w:szCs w:val="20"/>
          <w:lang w:val="en-US" w:eastAsia="zh-CN"/>
        </w:rPr>
        <w:t>4.充分、公平竞争保障措施（实质性要求）</w:t>
      </w:r>
      <w:bookmarkEnd w:id="153"/>
      <w:bookmarkEnd w:id="154"/>
      <w:bookmarkEnd w:id="155"/>
      <w:bookmarkEnd w:id="156"/>
      <w:bookmarkEnd w:id="157"/>
    </w:p>
    <w:p w14:paraId="6F7021B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4.1利害关系申请人处理。单位负责人为同一人或者存在直接控股、管理关系的不同申请人不得参加同一合同项下的采购活动。</w:t>
      </w:r>
    </w:p>
    <w:p w14:paraId="561B046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4.2前期参与申请人处理。为采购项目提供整体设计、规范编制或者项目管理、监理、检测等服务的供应商，不得再参加该采购项目的其他采购活动。</w:t>
      </w:r>
    </w:p>
    <w:p w14:paraId="222EB7F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4.3回避。采购活动中，采购人员及相关人员与申请人有下列利害关系之一的，应当回避：</w:t>
      </w:r>
    </w:p>
    <w:p w14:paraId="0762C2E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（1）参加采购活动前3年内与申请人存在劳动关系；</w:t>
      </w:r>
    </w:p>
    <w:p w14:paraId="3B3C4F3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（2）参加采购活动前3年内担任申请人的董事、监事；</w:t>
      </w:r>
    </w:p>
    <w:p w14:paraId="29136EB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（3）参加采购活动前3年内是申请人的控股股东或者实际控制人；</w:t>
      </w:r>
    </w:p>
    <w:p w14:paraId="642D0E1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（4）与申请人的法定代表人或者负责人有夫妻、直系血亲、三代以内旁系血亲或者近姻亲关系；</w:t>
      </w:r>
    </w:p>
    <w:p w14:paraId="5744007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158" w:name="_Toc32030"/>
      <w:bookmarkStart w:id="159" w:name="_Toc325"/>
      <w:bookmarkStart w:id="160" w:name="_Toc29459"/>
      <w:r>
        <w:rPr>
          <w:rFonts w:hint="default" w:ascii="Times New Roman" w:hAnsi="Times New Roman" w:eastAsia="仿宋_GB2312" w:cs="Times New Roman"/>
          <w:sz w:val="24"/>
          <w:szCs w:val="20"/>
          <w:lang w:val="en-US" w:eastAsia="zh-CN"/>
        </w:rPr>
        <w:t>（5）与申请人有其他可能影响采购活动公平、公正进行的关系。</w:t>
      </w:r>
      <w:bookmarkEnd w:id="158"/>
      <w:bookmarkEnd w:id="159"/>
      <w:bookmarkEnd w:id="160"/>
    </w:p>
    <w:p w14:paraId="797757D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申请人认为采购人员及相关人员与其他供应商有利害关系的，可以向比选人书面提出回避申请，并说明理由。比选人将及时询问被申请回避人员，有利害关系的被申请回避人员应当回避。</w:t>
      </w:r>
    </w:p>
    <w:bookmarkEnd w:id="152"/>
    <w:p w14:paraId="0D16F50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61" w:name="_Toc9458"/>
      <w:bookmarkStart w:id="162" w:name="_Toc23486"/>
      <w:bookmarkStart w:id="163" w:name="_Toc29910"/>
      <w:bookmarkStart w:id="164" w:name="_Toc18782"/>
      <w:bookmarkStart w:id="165" w:name="_Toc217446047"/>
      <w:r>
        <w:rPr>
          <w:rFonts w:hint="default" w:ascii="Times New Roman" w:hAnsi="Times New Roman" w:eastAsia="仿宋_GB2312" w:cs="Times New Roman"/>
          <w:b/>
          <w:bCs/>
          <w:sz w:val="24"/>
          <w:szCs w:val="20"/>
          <w:lang w:val="en-US" w:eastAsia="zh-CN"/>
        </w:rPr>
        <w:t>5.比选保证金（本项目不适用）</w:t>
      </w:r>
      <w:bookmarkEnd w:id="161"/>
      <w:bookmarkEnd w:id="162"/>
      <w:bookmarkEnd w:id="163"/>
      <w:bookmarkEnd w:id="164"/>
    </w:p>
    <w:p w14:paraId="6CCBEB1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66" w:name="_Toc1445"/>
      <w:bookmarkStart w:id="167" w:name="_Toc29578"/>
      <w:bookmarkStart w:id="168" w:name="_Toc16200"/>
      <w:bookmarkStart w:id="169" w:name="_Toc18303"/>
      <w:r>
        <w:rPr>
          <w:rFonts w:hint="default" w:ascii="Times New Roman" w:hAnsi="Times New Roman" w:eastAsia="仿宋_GB2312" w:cs="Times New Roman"/>
          <w:b/>
          <w:bCs/>
          <w:sz w:val="24"/>
          <w:szCs w:val="20"/>
          <w:lang w:val="en-US" w:eastAsia="zh-CN"/>
        </w:rPr>
        <w:t>6.知识产权</w:t>
      </w:r>
      <w:bookmarkEnd w:id="165"/>
      <w:r>
        <w:rPr>
          <w:rFonts w:hint="default" w:ascii="Times New Roman" w:hAnsi="Times New Roman" w:eastAsia="仿宋_GB2312" w:cs="Times New Roman"/>
          <w:b/>
          <w:bCs/>
          <w:sz w:val="24"/>
          <w:szCs w:val="20"/>
          <w:lang w:val="en-US" w:eastAsia="zh-CN"/>
        </w:rPr>
        <w:t>（实质性要求）</w:t>
      </w:r>
      <w:bookmarkEnd w:id="166"/>
      <w:bookmarkEnd w:id="167"/>
      <w:bookmarkEnd w:id="168"/>
      <w:bookmarkEnd w:id="169"/>
    </w:p>
    <w:p w14:paraId="2A41404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6.1申请人应保证在本项目使用的任何产品和服务（包括部分使用）时，不会产生因第三方提出侵犯其专利权、商标权或其它知识产权而引起的法律和经济纠纷，如因专利权、商标权或其它知识产权而引起法律和经济纠纷，由申请人承担所有相关责任。</w:t>
      </w:r>
    </w:p>
    <w:p w14:paraId="76CDD45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6.2比选人享有本项目实施过程中产生的知识成果及知识产权。</w:t>
      </w:r>
    </w:p>
    <w:p w14:paraId="6287A0E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6.3申请人如欲在项目实施过程中采用自有知识成果，需在比选申请文件中声明，并提供相关知识产权证明文件。使用该知识成果后，申请人需提供开发接口和开发手册等技术文档，并承诺提供无限期技术支持，比选人享有永久使用权。</w:t>
      </w:r>
    </w:p>
    <w:p w14:paraId="7D91C1C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6.4如采用申请人所不拥有的知识产权，则在比选报价中必须包括合法获取该知识产权的相关费用。</w:t>
      </w:r>
    </w:p>
    <w:p w14:paraId="465C0FD9">
      <w:pPr>
        <w:keepNext w:val="0"/>
        <w:keepLines w:val="0"/>
        <w:pageBreakBefore w:val="0"/>
        <w:widowControl/>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170" w:name="_Toc183682346"/>
      <w:bookmarkStart w:id="171" w:name="_Toc5381"/>
      <w:bookmarkStart w:id="172" w:name="_Toc30546"/>
      <w:bookmarkStart w:id="173" w:name="_Toc77400779"/>
      <w:bookmarkStart w:id="174" w:name="_Toc217446038"/>
      <w:bookmarkStart w:id="175" w:name="_Toc183582209"/>
      <w:bookmarkStart w:id="176" w:name="_Toc89075875"/>
      <w:bookmarkStart w:id="177" w:name="_Toc19849"/>
      <w:bookmarkStart w:id="178" w:name="_Toc4681"/>
      <w:r>
        <w:rPr>
          <w:rFonts w:hint="default" w:ascii="Times New Roman" w:hAnsi="Times New Roman" w:eastAsia="黑体" w:cs="Times New Roman"/>
          <w:b w:val="0"/>
          <w:bCs w:val="0"/>
          <w:sz w:val="24"/>
          <w:szCs w:val="20"/>
          <w:lang w:val="en-US" w:eastAsia="zh-CN"/>
        </w:rPr>
        <w:t>三、比选文件</w:t>
      </w:r>
      <w:bookmarkEnd w:id="170"/>
      <w:bookmarkEnd w:id="171"/>
      <w:bookmarkEnd w:id="172"/>
      <w:bookmarkEnd w:id="173"/>
      <w:bookmarkEnd w:id="174"/>
      <w:bookmarkEnd w:id="175"/>
      <w:bookmarkEnd w:id="176"/>
      <w:bookmarkEnd w:id="177"/>
      <w:bookmarkEnd w:id="178"/>
    </w:p>
    <w:p w14:paraId="44EC974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79" w:name="_Toc183582210"/>
      <w:bookmarkStart w:id="180" w:name="_Toc2052"/>
      <w:bookmarkStart w:id="181" w:name="_Toc217446039"/>
      <w:bookmarkStart w:id="182" w:name="_Toc25803"/>
      <w:bookmarkStart w:id="183" w:name="_Toc28357"/>
      <w:bookmarkStart w:id="184" w:name="_Toc183682347"/>
      <w:bookmarkStart w:id="185" w:name="_Toc22277"/>
      <w:bookmarkStart w:id="186" w:name="_Toc9990"/>
      <w:r>
        <w:rPr>
          <w:rFonts w:hint="default" w:ascii="Times New Roman" w:hAnsi="Times New Roman" w:eastAsia="仿宋_GB2312" w:cs="Times New Roman"/>
          <w:b/>
          <w:bCs/>
          <w:sz w:val="24"/>
          <w:szCs w:val="20"/>
          <w:lang w:val="en-US" w:eastAsia="zh-CN"/>
        </w:rPr>
        <w:t>7.比选文件的构成</w:t>
      </w:r>
      <w:bookmarkEnd w:id="179"/>
      <w:bookmarkEnd w:id="180"/>
      <w:bookmarkEnd w:id="181"/>
      <w:bookmarkEnd w:id="182"/>
      <w:bookmarkEnd w:id="183"/>
      <w:bookmarkEnd w:id="184"/>
      <w:bookmarkEnd w:id="185"/>
      <w:bookmarkEnd w:id="186"/>
    </w:p>
    <w:p w14:paraId="338E727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7.1比选文件用以阐明比选项目所需的资质、技术、服务及报价等要求、比选程序、有关规定和注意事项以及合同主要条款等。本比选文件包括以下内容：</w:t>
      </w:r>
    </w:p>
    <w:p w14:paraId="049986A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（1）比选邀请；</w:t>
      </w:r>
    </w:p>
    <w:p w14:paraId="6E17F6E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（2）申请人须知及前附表；</w:t>
      </w:r>
    </w:p>
    <w:p w14:paraId="2EC661B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（3）申请人有关资格证明文件；</w:t>
      </w:r>
    </w:p>
    <w:p w14:paraId="7747DFA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（4）比选项目技术、服务、比选合同内容条款及其他商务要求；</w:t>
      </w:r>
    </w:p>
    <w:p w14:paraId="3F360BE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（5）响应文件格式；</w:t>
      </w:r>
    </w:p>
    <w:p w14:paraId="5B9415C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（6）比选方法；</w:t>
      </w:r>
    </w:p>
    <w:p w14:paraId="67AF755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（7）采购合同（草案）。</w:t>
      </w:r>
    </w:p>
    <w:p w14:paraId="1A7BA95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7.2申请人应认真阅读和充分理解比选文件中所有的事项、格式条款和规范要求。申请人没有对比选文件全面做出实质性响应是申请人的风险。没有按照比选文件要求作出实质性响应的比选文件将被拒绝。</w:t>
      </w:r>
    </w:p>
    <w:p w14:paraId="30069D0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87" w:name="_Toc183582211"/>
      <w:bookmarkStart w:id="188" w:name="_Toc183682348"/>
      <w:bookmarkStart w:id="189" w:name="_Toc13888"/>
      <w:bookmarkStart w:id="190" w:name="_Toc29456"/>
      <w:bookmarkStart w:id="191" w:name="_Toc16707"/>
      <w:bookmarkStart w:id="192" w:name="_Toc8978"/>
      <w:bookmarkStart w:id="193" w:name="_Toc217446040"/>
      <w:bookmarkStart w:id="194" w:name="_Toc22778"/>
      <w:r>
        <w:rPr>
          <w:rFonts w:hint="default" w:ascii="Times New Roman" w:hAnsi="Times New Roman" w:eastAsia="仿宋_GB2312" w:cs="Times New Roman"/>
          <w:b/>
          <w:bCs/>
          <w:sz w:val="24"/>
          <w:szCs w:val="20"/>
          <w:lang w:val="en-US" w:eastAsia="zh-CN"/>
        </w:rPr>
        <w:t>8.比选文件的澄清</w:t>
      </w:r>
      <w:bookmarkEnd w:id="187"/>
      <w:bookmarkEnd w:id="188"/>
      <w:r>
        <w:rPr>
          <w:rFonts w:hint="default" w:ascii="Times New Roman" w:hAnsi="Times New Roman" w:eastAsia="仿宋_GB2312" w:cs="Times New Roman"/>
          <w:b/>
          <w:bCs/>
          <w:sz w:val="24"/>
          <w:szCs w:val="20"/>
          <w:lang w:val="en-US" w:eastAsia="zh-CN"/>
        </w:rPr>
        <w:t>和修改</w:t>
      </w:r>
      <w:bookmarkEnd w:id="189"/>
      <w:bookmarkEnd w:id="190"/>
      <w:bookmarkEnd w:id="191"/>
      <w:bookmarkEnd w:id="192"/>
      <w:bookmarkEnd w:id="193"/>
      <w:bookmarkEnd w:id="194"/>
    </w:p>
    <w:p w14:paraId="5AE51AB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8.1在响应文件递交截止时间前，比选人无论出于何种原因，可以对比选文件进行澄清或者修改。</w:t>
      </w:r>
    </w:p>
    <w:p w14:paraId="601912A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8.2比选人对已发出的比选文件进行澄清或者修改，将在比选文件要求的提交响应文件截止时间前在中国农业科学院都市农业研究所官网发布公告，并以书面形式将澄清或者修改的内容通知所有参与了比选文件的申请人。该澄清或者修改的内容为比选文件的组成部分。澄清或者修改的内容可能影响响应文件编制的，比选人发布公告并书面通知申请人的时间，应当在提交首次响应文件截止之日起3日前；不足上述时间的，应当顺延递交响应文件的截止时间。</w:t>
      </w:r>
    </w:p>
    <w:p w14:paraId="66BC2E7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8.3申请人应于递交响应文件截止前，在中国农业科学院都市农业研究所官网查询本项目的更正公告，以保证其对比选文件做出正确的响应。申请人未按要求下载相关文件，或由于未及时关注更正公告的信息造成的后果，其责任自行负责。</w:t>
      </w:r>
    </w:p>
    <w:p w14:paraId="0AE40FE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8.4申请人认为需要对比选文件进行澄清或者修改的，可以以书面形式向比选人提出申请，由比选人决定是否采纳申请人的申请事项。</w:t>
      </w:r>
    </w:p>
    <w:p w14:paraId="2FD57C0E">
      <w:pPr>
        <w:keepNext w:val="0"/>
        <w:keepLines w:val="0"/>
        <w:pageBreakBefore w:val="0"/>
        <w:widowControl/>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195" w:name="_Toc183682351"/>
      <w:bookmarkStart w:id="196" w:name="_Toc183582214"/>
      <w:bookmarkStart w:id="197" w:name="_Toc11338"/>
      <w:bookmarkStart w:id="198" w:name="_Toc7046"/>
      <w:bookmarkStart w:id="199" w:name="_Toc217446042"/>
      <w:bookmarkStart w:id="200" w:name="_Toc77400780"/>
      <w:bookmarkStart w:id="201" w:name="_Toc5990"/>
      <w:bookmarkStart w:id="202" w:name="_Toc4060"/>
      <w:bookmarkStart w:id="203" w:name="_Toc89075876"/>
      <w:bookmarkStart w:id="204" w:name="_Toc13758"/>
      <w:r>
        <w:rPr>
          <w:rFonts w:hint="default" w:ascii="Times New Roman" w:hAnsi="Times New Roman" w:eastAsia="黑体" w:cs="Times New Roman"/>
          <w:b w:val="0"/>
          <w:bCs w:val="0"/>
          <w:sz w:val="24"/>
          <w:szCs w:val="20"/>
          <w:lang w:val="en-US" w:eastAsia="zh-CN"/>
        </w:rPr>
        <w:t>四、响应文件</w:t>
      </w:r>
      <w:bookmarkEnd w:id="195"/>
      <w:bookmarkEnd w:id="196"/>
      <w:bookmarkEnd w:id="197"/>
      <w:bookmarkEnd w:id="198"/>
      <w:bookmarkEnd w:id="199"/>
      <w:bookmarkEnd w:id="200"/>
      <w:bookmarkEnd w:id="201"/>
      <w:bookmarkEnd w:id="202"/>
      <w:bookmarkEnd w:id="203"/>
      <w:bookmarkEnd w:id="204"/>
    </w:p>
    <w:p w14:paraId="44ED0C5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05" w:name="_Toc22763"/>
      <w:bookmarkStart w:id="206" w:name="_Toc12328"/>
      <w:bookmarkStart w:id="207" w:name="_Toc12914"/>
      <w:bookmarkStart w:id="208" w:name="_Toc23105"/>
      <w:bookmarkStart w:id="209" w:name="_Toc22484"/>
      <w:bookmarkStart w:id="210" w:name="_Toc217446043"/>
      <w:bookmarkStart w:id="211" w:name="_Toc183682352"/>
      <w:bookmarkStart w:id="212" w:name="_Toc183582215"/>
      <w:r>
        <w:rPr>
          <w:rFonts w:hint="default" w:ascii="Times New Roman" w:hAnsi="Times New Roman" w:eastAsia="仿宋_GB2312" w:cs="Times New Roman"/>
          <w:b/>
          <w:bCs/>
          <w:sz w:val="24"/>
          <w:szCs w:val="20"/>
          <w:lang w:val="en-US" w:eastAsia="zh-CN"/>
        </w:rPr>
        <w:t>9.响应文件的组成</w:t>
      </w:r>
      <w:bookmarkEnd w:id="205"/>
      <w:bookmarkEnd w:id="206"/>
      <w:bookmarkEnd w:id="207"/>
      <w:bookmarkEnd w:id="208"/>
      <w:bookmarkEnd w:id="209"/>
    </w:p>
    <w:p w14:paraId="3F6ABAD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申请人编写的响应文件应包括资格性响应文件和其他响应文件两部分，分册装订。</w:t>
      </w:r>
    </w:p>
    <w:p w14:paraId="4D3CBA3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13" w:name="_Toc4746"/>
      <w:bookmarkStart w:id="214" w:name="_Toc404"/>
      <w:bookmarkStart w:id="215" w:name="_Toc11246"/>
      <w:bookmarkStart w:id="216" w:name="_Toc8183"/>
      <w:bookmarkStart w:id="217" w:name="_Toc20556"/>
      <w:r>
        <w:rPr>
          <w:rFonts w:hint="default" w:ascii="Times New Roman" w:hAnsi="Times New Roman" w:eastAsia="仿宋_GB2312" w:cs="Times New Roman"/>
          <w:b/>
          <w:bCs/>
          <w:sz w:val="24"/>
          <w:szCs w:val="20"/>
          <w:lang w:val="en-US" w:eastAsia="zh-CN"/>
        </w:rPr>
        <w:t>10．响应文件的语言</w:t>
      </w:r>
      <w:bookmarkEnd w:id="210"/>
      <w:bookmarkEnd w:id="211"/>
      <w:bookmarkEnd w:id="212"/>
      <w:bookmarkEnd w:id="213"/>
      <w:bookmarkEnd w:id="214"/>
      <w:bookmarkEnd w:id="215"/>
      <w:bookmarkEnd w:id="216"/>
      <w:bookmarkEnd w:id="217"/>
    </w:p>
    <w:p w14:paraId="34DAC93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10.1申请人提交的响应文件以及比选人与申请人就有关比选的所有来往书面文件均须使用中文。比选文件中如附有外文资料，主要部分对应翻译成中文并加盖申请人公章后附在相关外文资料后面。</w:t>
      </w:r>
    </w:p>
    <w:p w14:paraId="461DE5F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10.2翻译的中文资料与外文资料如果出现差异和矛盾时，以中文为准。但不能故意错误翻译，否则，申请人的响应文件将作为无效比选处理。</w:t>
      </w:r>
    </w:p>
    <w:p w14:paraId="6ABC6C3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18" w:name="_Toc183582216"/>
      <w:bookmarkStart w:id="219" w:name="_Toc183682353"/>
      <w:bookmarkStart w:id="220" w:name="_Toc217446044"/>
      <w:bookmarkStart w:id="221" w:name="_Toc613"/>
      <w:bookmarkStart w:id="222" w:name="_Toc26764"/>
      <w:bookmarkStart w:id="223" w:name="_Toc5016"/>
      <w:bookmarkStart w:id="224" w:name="_Toc16980"/>
      <w:bookmarkStart w:id="225" w:name="_Toc6805"/>
      <w:r>
        <w:rPr>
          <w:rFonts w:hint="default" w:ascii="Times New Roman" w:hAnsi="Times New Roman" w:eastAsia="仿宋_GB2312" w:cs="Times New Roman"/>
          <w:b/>
          <w:bCs/>
          <w:sz w:val="24"/>
          <w:szCs w:val="20"/>
          <w:lang w:val="en-US" w:eastAsia="zh-CN"/>
        </w:rPr>
        <w:t>11．计量单位</w:t>
      </w:r>
      <w:bookmarkEnd w:id="218"/>
      <w:bookmarkEnd w:id="219"/>
      <w:bookmarkEnd w:id="220"/>
      <w:r>
        <w:rPr>
          <w:rFonts w:hint="default" w:ascii="Times New Roman" w:hAnsi="Times New Roman" w:eastAsia="仿宋_GB2312" w:cs="Times New Roman"/>
          <w:b/>
          <w:bCs/>
          <w:sz w:val="24"/>
          <w:szCs w:val="20"/>
          <w:lang w:val="en-US" w:eastAsia="zh-CN"/>
        </w:rPr>
        <w:t>（实质性要求）</w:t>
      </w:r>
      <w:bookmarkEnd w:id="221"/>
      <w:bookmarkEnd w:id="222"/>
      <w:bookmarkEnd w:id="223"/>
      <w:bookmarkEnd w:id="224"/>
      <w:bookmarkEnd w:id="225"/>
    </w:p>
    <w:p w14:paraId="5B79EAD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除技术规格及要求中另有规定外，本采购项下的比选均采用国家法定的计量单位。</w:t>
      </w:r>
    </w:p>
    <w:p w14:paraId="53617A6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highlight w:val="none"/>
          <w:lang w:val="en-US" w:eastAsia="zh-CN"/>
        </w:rPr>
      </w:pPr>
      <w:bookmarkStart w:id="226" w:name="_Toc217446045"/>
      <w:bookmarkStart w:id="227" w:name="_Toc2740"/>
      <w:bookmarkStart w:id="228" w:name="_Toc10683"/>
      <w:bookmarkStart w:id="229" w:name="_Toc2929"/>
      <w:bookmarkStart w:id="230" w:name="_Toc4909"/>
      <w:bookmarkStart w:id="231" w:name="_Toc3567"/>
      <w:r>
        <w:rPr>
          <w:rFonts w:hint="default" w:ascii="Times New Roman" w:hAnsi="Times New Roman" w:eastAsia="仿宋_GB2312" w:cs="Times New Roman"/>
          <w:b/>
          <w:bCs/>
          <w:sz w:val="24"/>
          <w:szCs w:val="20"/>
          <w:highlight w:val="none"/>
          <w:lang w:val="en-US" w:eastAsia="zh-CN"/>
        </w:rPr>
        <w:t>12.</w:t>
      </w:r>
      <w:bookmarkEnd w:id="226"/>
      <w:r>
        <w:rPr>
          <w:rFonts w:hint="default" w:ascii="Times New Roman" w:hAnsi="Times New Roman" w:eastAsia="仿宋_GB2312" w:cs="Times New Roman"/>
          <w:b/>
          <w:bCs/>
          <w:sz w:val="24"/>
          <w:szCs w:val="20"/>
          <w:highlight w:val="none"/>
          <w:lang w:val="en-US" w:eastAsia="zh-CN"/>
        </w:rPr>
        <w:t>报价</w:t>
      </w:r>
      <w:bookmarkEnd w:id="227"/>
      <w:bookmarkEnd w:id="228"/>
      <w:bookmarkEnd w:id="229"/>
      <w:bookmarkEnd w:id="230"/>
      <w:bookmarkEnd w:id="231"/>
    </w:p>
    <w:p w14:paraId="31AEB5B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232" w:name="_Toc1590"/>
      <w:bookmarkStart w:id="233" w:name="_Toc4750"/>
      <w:bookmarkStart w:id="234" w:name="_Toc9650"/>
      <w:r>
        <w:rPr>
          <w:rFonts w:hint="default" w:ascii="Times New Roman" w:hAnsi="Times New Roman" w:eastAsia="仿宋_GB2312" w:cs="Times New Roman"/>
          <w:sz w:val="24"/>
          <w:szCs w:val="20"/>
          <w:lang w:val="en-US" w:eastAsia="zh-CN"/>
        </w:rPr>
        <w:t>12.1申请人的报价是申请人响应比选项目要求的全部工作内容的价格体现，包括申请人完成本项目所需的一切费用。</w:t>
      </w:r>
      <w:bookmarkEnd w:id="232"/>
      <w:bookmarkEnd w:id="233"/>
      <w:bookmarkEnd w:id="234"/>
    </w:p>
    <w:p w14:paraId="711E15B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12.2比选申请人只允许有一个报价，并且在合同履行过程中是固定不变的，任何有选择或可调整的报价将不予接受，并按无效比选处理。</w:t>
      </w:r>
    </w:p>
    <w:p w14:paraId="5498D20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12.3所有报价一律以人民币报价。比选人不接受任何非人民币币种的报价。</w:t>
      </w:r>
    </w:p>
    <w:p w14:paraId="6251CEF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35" w:name="_Toc25554"/>
      <w:bookmarkStart w:id="236" w:name="_Toc29920"/>
      <w:bookmarkStart w:id="237" w:name="_Toc183682355"/>
      <w:bookmarkStart w:id="238" w:name="_Toc19709"/>
      <w:bookmarkStart w:id="239" w:name="_Toc217446049"/>
      <w:bookmarkStart w:id="240" w:name="_Toc20402"/>
      <w:bookmarkStart w:id="241" w:name="_Toc19978"/>
      <w:bookmarkStart w:id="242" w:name="_Toc183582218"/>
      <w:r>
        <w:rPr>
          <w:rFonts w:hint="default" w:ascii="Times New Roman" w:hAnsi="Times New Roman" w:eastAsia="仿宋_GB2312" w:cs="Times New Roman"/>
          <w:b/>
          <w:bCs/>
          <w:sz w:val="24"/>
          <w:szCs w:val="20"/>
          <w:lang w:val="en-US" w:eastAsia="zh-CN"/>
        </w:rPr>
        <w:t>13.响应文件格式</w:t>
      </w:r>
      <w:bookmarkEnd w:id="235"/>
      <w:bookmarkEnd w:id="236"/>
      <w:bookmarkEnd w:id="237"/>
      <w:bookmarkEnd w:id="238"/>
      <w:bookmarkEnd w:id="239"/>
      <w:bookmarkEnd w:id="240"/>
      <w:bookmarkEnd w:id="241"/>
      <w:bookmarkEnd w:id="242"/>
    </w:p>
    <w:p w14:paraId="468F90B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13.1申请人应严格按照比选文件第五章中提供的“响应文件格式”填写相关内容。</w:t>
      </w:r>
    </w:p>
    <w:p w14:paraId="7BC0349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243" w:name="_Toc15599"/>
      <w:bookmarkStart w:id="244" w:name="_Toc21591"/>
      <w:bookmarkStart w:id="245" w:name="_Toc786"/>
      <w:r>
        <w:rPr>
          <w:rFonts w:hint="default" w:ascii="Times New Roman" w:hAnsi="Times New Roman" w:eastAsia="仿宋_GB2312" w:cs="Times New Roman"/>
          <w:sz w:val="24"/>
          <w:szCs w:val="20"/>
          <w:lang w:val="en-US" w:eastAsia="zh-CN"/>
        </w:rPr>
        <w:t>13.2对于没有格式要求的响应文件格式由申请人自行编写。</w:t>
      </w:r>
      <w:bookmarkEnd w:id="243"/>
      <w:bookmarkEnd w:id="244"/>
      <w:bookmarkEnd w:id="245"/>
    </w:p>
    <w:p w14:paraId="6F960C3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46" w:name="_Toc217446050"/>
      <w:bookmarkStart w:id="247" w:name="_Toc183582223"/>
      <w:bookmarkStart w:id="248" w:name="_Toc183682360"/>
      <w:bookmarkStart w:id="249" w:name="_Toc11347"/>
      <w:bookmarkStart w:id="250" w:name="_Toc16421"/>
      <w:bookmarkStart w:id="251" w:name="_Toc25775"/>
      <w:bookmarkStart w:id="252" w:name="_Toc14282"/>
      <w:bookmarkStart w:id="253" w:name="_Toc24051"/>
      <w:r>
        <w:rPr>
          <w:rFonts w:hint="default" w:ascii="Times New Roman" w:hAnsi="Times New Roman" w:eastAsia="仿宋_GB2312" w:cs="Times New Roman"/>
          <w:b/>
          <w:bCs/>
          <w:sz w:val="24"/>
          <w:szCs w:val="20"/>
          <w:lang w:val="en-US" w:eastAsia="zh-CN"/>
        </w:rPr>
        <w:t>14.</w:t>
      </w:r>
      <w:bookmarkEnd w:id="246"/>
      <w:bookmarkEnd w:id="247"/>
      <w:bookmarkEnd w:id="248"/>
      <w:r>
        <w:rPr>
          <w:rFonts w:hint="default" w:ascii="Times New Roman" w:hAnsi="Times New Roman" w:eastAsia="仿宋_GB2312" w:cs="Times New Roman"/>
          <w:b/>
          <w:bCs/>
          <w:sz w:val="24"/>
          <w:szCs w:val="20"/>
          <w:lang w:val="en-US" w:eastAsia="zh-CN"/>
        </w:rPr>
        <w:t>响应文件的编制和签署</w:t>
      </w:r>
      <w:bookmarkEnd w:id="249"/>
      <w:bookmarkEnd w:id="250"/>
      <w:bookmarkEnd w:id="251"/>
      <w:bookmarkEnd w:id="252"/>
      <w:bookmarkEnd w:id="253"/>
    </w:p>
    <w:p w14:paraId="085C7CD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14.1申请人按照比选文件要求提供的有关资质证明文件及优惠承诺。包括以下内容：</w:t>
      </w:r>
    </w:p>
    <w:p w14:paraId="425BF95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254" w:name="_Toc6959"/>
      <w:bookmarkStart w:id="255" w:name="_Toc30871"/>
      <w:bookmarkStart w:id="256" w:name="_Toc30125"/>
      <w:r>
        <w:rPr>
          <w:rFonts w:hint="default" w:ascii="Times New Roman" w:hAnsi="Times New Roman" w:eastAsia="仿宋_GB2312" w:cs="Times New Roman"/>
          <w:sz w:val="24"/>
          <w:szCs w:val="20"/>
          <w:lang w:val="en-US" w:eastAsia="zh-CN"/>
        </w:rPr>
        <w:t>（1）比选函；</w:t>
      </w:r>
      <w:bookmarkEnd w:id="254"/>
      <w:bookmarkEnd w:id="255"/>
      <w:bookmarkEnd w:id="256"/>
    </w:p>
    <w:p w14:paraId="53A1775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（2）申请人企业法人营业执照正（副）本复印件、税务登记证正（副）本复印件、组织机构代码证正（副）本复印件【或提供三证合一的营业执照正（副）本复印件】；</w:t>
      </w:r>
    </w:p>
    <w:p w14:paraId="5F8080A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（3）法定代表人/单位负责人授权书原件；</w:t>
      </w:r>
    </w:p>
    <w:p w14:paraId="6E18245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（4）授权代表身份证复印件；</w:t>
      </w:r>
    </w:p>
    <w:p w14:paraId="252217B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（5）证明响应服务的合格性和申请人资格符合比选文件规定的证明文件；</w:t>
      </w:r>
    </w:p>
    <w:p w14:paraId="3BC3D01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（6）证明申请人业绩和荣誉的有关材料；</w:t>
      </w:r>
    </w:p>
    <w:p w14:paraId="03BD301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（7</w:t>
      </w:r>
      <w:r>
        <w:rPr>
          <w:rFonts w:hint="default" w:ascii="Times New Roman" w:hAnsi="Times New Roman" w:eastAsia="仿宋_GB2312" w:cs="Times New Roman"/>
          <w:sz w:val="24"/>
          <w:szCs w:val="20"/>
          <w:highlight w:val="none"/>
          <w:lang w:val="en-US" w:eastAsia="zh-CN"/>
        </w:rPr>
        <w:t>）技术、服务、商务、合同条款要求偏离表；</w:t>
      </w:r>
    </w:p>
    <w:p w14:paraId="7B7D3CE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（8）其他申请人认为需要提供的文件和资料。</w:t>
      </w:r>
    </w:p>
    <w:p w14:paraId="73747B4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14.2响应文件正本1份、副本1份，在其封面上清楚地标明比选项目名称、申请人名称、年月日；并分别在右上角标明“正本”和“副本”字样。若正本和副本有不一致的内容，以正本书面响应文件为准。</w:t>
      </w:r>
    </w:p>
    <w:p w14:paraId="1D773EA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14.3响应文件正本和副本均需在规定签章处签字和盖章。响应文件副本可采用正本的复印件。</w:t>
      </w:r>
    </w:p>
    <w:p w14:paraId="33BD7FE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14.4响应文件的打印和书写应清楚工整，任何行间插字、涂改或增删，必须由申请人的法定代表人/单位负责人或其授权代表签字并盖供应商公章。</w:t>
      </w:r>
    </w:p>
    <w:p w14:paraId="4A144D5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14.5响应文件的打印和书写应清楚工整，任何行间插字、涂改或增删，必须由申请人的法定代表人/单位负责人或其授权代表签字并盖供应商公章。</w:t>
      </w:r>
    </w:p>
    <w:p w14:paraId="6567A02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14.6</w:t>
      </w:r>
      <w:r>
        <w:rPr>
          <w:rFonts w:hint="default" w:ascii="Times New Roman" w:hAnsi="Times New Roman" w:eastAsia="仿宋_GB2312" w:cs="Times New Roman"/>
          <w:b/>
          <w:bCs/>
          <w:sz w:val="24"/>
          <w:szCs w:val="20"/>
          <w:lang w:val="en-US" w:eastAsia="zh-CN"/>
        </w:rPr>
        <w:t>（实质性要求）</w:t>
      </w:r>
      <w:r>
        <w:rPr>
          <w:rFonts w:hint="default" w:ascii="Times New Roman" w:hAnsi="Times New Roman" w:eastAsia="仿宋_GB2312" w:cs="Times New Roman"/>
          <w:sz w:val="24"/>
          <w:szCs w:val="20"/>
          <w:lang w:val="en-US" w:eastAsia="zh-CN"/>
        </w:rPr>
        <w:t>响应文件应由申请人法定代表人/主要负责人/本人或其授权代表在响应文件要求的地方签字（注：申请人为法人的，应当由其法定代表人或者授权代表签字确认；供应商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p>
    <w:p w14:paraId="5D3598E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14.7响应文件正本和副本需要逐页编目编码。</w:t>
      </w:r>
    </w:p>
    <w:p w14:paraId="6642300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14.8响应文件正本和副本应当采用胶装方式装订成册，不得散装或者合页装订。</w:t>
      </w:r>
    </w:p>
    <w:p w14:paraId="0DE401E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14.9（实质性要求）响应文件应按比选文件的要求签署、盖章。</w:t>
      </w:r>
    </w:p>
    <w:p w14:paraId="6703082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14.10响应文件统一用A4幅面纸印制，除另有规定外。</w:t>
      </w:r>
    </w:p>
    <w:p w14:paraId="23CB045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57" w:name="_Toc13391"/>
      <w:bookmarkStart w:id="258" w:name="_Toc26474"/>
      <w:bookmarkStart w:id="259" w:name="_Toc20965"/>
      <w:bookmarkStart w:id="260" w:name="_Toc25101"/>
      <w:bookmarkStart w:id="261" w:name="_Toc32735"/>
      <w:r>
        <w:rPr>
          <w:rFonts w:hint="default" w:ascii="Times New Roman" w:hAnsi="Times New Roman" w:eastAsia="仿宋_GB2312" w:cs="Times New Roman"/>
          <w:b/>
          <w:bCs/>
          <w:sz w:val="24"/>
          <w:szCs w:val="20"/>
          <w:lang w:val="en-US" w:eastAsia="zh-CN"/>
        </w:rPr>
        <w:t>15.响应文件的密封和标注</w:t>
      </w:r>
      <w:bookmarkEnd w:id="257"/>
      <w:bookmarkEnd w:id="258"/>
      <w:bookmarkEnd w:id="259"/>
      <w:bookmarkEnd w:id="260"/>
      <w:bookmarkEnd w:id="261"/>
      <w:bookmarkStart w:id="262" w:name="_Toc217446051"/>
      <w:bookmarkStart w:id="263" w:name="_Toc183682361"/>
      <w:bookmarkStart w:id="264" w:name="_Toc183582224"/>
    </w:p>
    <w:p w14:paraId="4D1D56D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15.1响应文件可以单独密封包装，也可以所有响应文件密封包装在一个密封袋内。</w:t>
      </w:r>
    </w:p>
    <w:p w14:paraId="44FD756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15.2响应文件密封袋的最外层应清楚地标明项目名称、申请人名称、年月日。</w:t>
      </w:r>
    </w:p>
    <w:p w14:paraId="49BBA7E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265" w:name="_Toc15765"/>
      <w:bookmarkStart w:id="266" w:name="_Toc13182"/>
      <w:bookmarkStart w:id="267" w:name="_Toc11164"/>
      <w:r>
        <w:rPr>
          <w:rFonts w:hint="default" w:ascii="Times New Roman" w:hAnsi="Times New Roman" w:eastAsia="仿宋_GB2312" w:cs="Times New Roman"/>
          <w:sz w:val="24"/>
          <w:szCs w:val="20"/>
          <w:lang w:val="en-US" w:eastAsia="zh-CN"/>
        </w:rPr>
        <w:t>15.3所有外层密封袋的封口处应粘贴牢固。</w:t>
      </w:r>
      <w:bookmarkEnd w:id="265"/>
      <w:bookmarkEnd w:id="266"/>
      <w:bookmarkEnd w:id="267"/>
    </w:p>
    <w:p w14:paraId="024C315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68" w:name="_Toc8573"/>
      <w:bookmarkStart w:id="269" w:name="_Toc7099"/>
      <w:bookmarkStart w:id="270" w:name="_Toc2099"/>
      <w:bookmarkStart w:id="271" w:name="_Toc12204"/>
      <w:bookmarkStart w:id="272" w:name="_Toc10580"/>
      <w:r>
        <w:rPr>
          <w:rFonts w:hint="default" w:ascii="Times New Roman" w:hAnsi="Times New Roman" w:eastAsia="仿宋_GB2312" w:cs="Times New Roman"/>
          <w:b/>
          <w:bCs/>
          <w:sz w:val="24"/>
          <w:szCs w:val="20"/>
          <w:lang w:val="en-US" w:eastAsia="zh-CN"/>
        </w:rPr>
        <w:t>16.响应文件的递交</w:t>
      </w:r>
      <w:bookmarkEnd w:id="268"/>
      <w:bookmarkEnd w:id="269"/>
      <w:bookmarkEnd w:id="270"/>
      <w:bookmarkEnd w:id="271"/>
      <w:bookmarkEnd w:id="272"/>
    </w:p>
    <w:p w14:paraId="5773DB2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申请人应在比选申请书递交截止时间前将响应文件邮寄（快递）给比选人指定联系人，且应于截止日期前将邮寄（快递）回执照片发送至比选人指定联系邮箱。逾期邮寄或发送的，比选人将不予受理。</w:t>
      </w:r>
    </w:p>
    <w:p w14:paraId="11116F1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73" w:name="_Toc7248"/>
      <w:bookmarkStart w:id="274" w:name="_Toc22366"/>
      <w:bookmarkStart w:id="275" w:name="_Toc22453"/>
      <w:bookmarkStart w:id="276" w:name="_Toc28557"/>
      <w:r>
        <w:rPr>
          <w:rFonts w:hint="default" w:ascii="Times New Roman" w:hAnsi="Times New Roman" w:eastAsia="仿宋_GB2312" w:cs="Times New Roman"/>
          <w:b/>
          <w:bCs/>
          <w:sz w:val="24"/>
          <w:szCs w:val="20"/>
          <w:lang w:val="en-US" w:eastAsia="zh-CN"/>
        </w:rPr>
        <w:t>17.响应文件的修改和撤回（补充、修改响应文件的密封和标注按照本章“19.响应文件的密封和标注”规定处理）</w:t>
      </w:r>
      <w:bookmarkEnd w:id="273"/>
      <w:bookmarkEnd w:id="274"/>
      <w:bookmarkEnd w:id="275"/>
      <w:bookmarkEnd w:id="276"/>
    </w:p>
    <w:p w14:paraId="180AE06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17.1申请人在提交响应文件后可对其响应文件进行修改或撤回，但该修改或撤回的书面通知须在递交截止时间之前送达比选人指定地址，补充、修改的内容作为响应文件的组成部分。且该通知需经正式授权的申请人代表签字方为有效。申请人在提交响应文件截止时间前，可以对所提交的响应文件进行补充、修改或者撤回，补充、修改的内容与响应文件不一致的，以补充、修改的内容为准。</w:t>
      </w:r>
    </w:p>
    <w:p w14:paraId="6E9FEB2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17.2申请人对响应文件修改的书面材料或撤回的通知应该按规定进行编写、密封、标注和递送，并注明“修改响应文件”字样。</w:t>
      </w:r>
    </w:p>
    <w:p w14:paraId="6B765FE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17.3申请人不得在递交截止时间起至响应文件有效期期满前撤销其响应文件。</w:t>
      </w:r>
    </w:p>
    <w:p w14:paraId="3FC7DD6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17.4申请人对其提交的响应文件的真实性、合法性承担法律责任。</w:t>
      </w:r>
    </w:p>
    <w:bookmarkEnd w:id="262"/>
    <w:bookmarkEnd w:id="263"/>
    <w:bookmarkEnd w:id="264"/>
    <w:p w14:paraId="0384BF2B">
      <w:pPr>
        <w:keepNext w:val="0"/>
        <w:keepLines w:val="0"/>
        <w:pageBreakBefore w:val="0"/>
        <w:widowControl/>
        <w:numPr>
          <w:ilvl w:val="-1"/>
          <w:numId w:val="0"/>
        </w:numPr>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277" w:name="_Toc15349"/>
      <w:bookmarkStart w:id="278" w:name="_Toc6306"/>
      <w:bookmarkStart w:id="279" w:name="_Toc29219"/>
      <w:bookmarkStart w:id="280" w:name="_Toc29501"/>
      <w:bookmarkStart w:id="281" w:name="_Toc19990"/>
      <w:bookmarkStart w:id="282" w:name="_Toc217446059"/>
      <w:bookmarkStart w:id="283" w:name="_Toc183682369"/>
      <w:bookmarkStart w:id="284" w:name="_Toc183582232"/>
      <w:bookmarkStart w:id="285" w:name="_Toc217446057"/>
      <w:r>
        <w:rPr>
          <w:rFonts w:hint="default" w:ascii="Times New Roman" w:hAnsi="Times New Roman" w:eastAsia="黑体" w:cs="Times New Roman"/>
          <w:b w:val="0"/>
          <w:bCs w:val="0"/>
          <w:sz w:val="24"/>
          <w:szCs w:val="20"/>
          <w:lang w:val="en-US" w:eastAsia="zh-CN"/>
        </w:rPr>
        <w:t>五、比选</w:t>
      </w:r>
      <w:bookmarkEnd w:id="277"/>
      <w:bookmarkEnd w:id="278"/>
      <w:bookmarkEnd w:id="279"/>
      <w:bookmarkEnd w:id="280"/>
      <w:bookmarkEnd w:id="281"/>
    </w:p>
    <w:p w14:paraId="60205D0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86" w:name="_Toc10613"/>
      <w:bookmarkStart w:id="287" w:name="_Toc10088"/>
      <w:bookmarkStart w:id="288" w:name="_Toc19141"/>
      <w:bookmarkStart w:id="289" w:name="_Toc7647"/>
      <w:r>
        <w:rPr>
          <w:rFonts w:hint="default" w:ascii="Times New Roman" w:hAnsi="Times New Roman" w:eastAsia="仿宋_GB2312" w:cs="Times New Roman"/>
          <w:b/>
          <w:bCs/>
          <w:sz w:val="24"/>
          <w:szCs w:val="20"/>
          <w:lang w:val="en-US" w:eastAsia="zh-CN"/>
        </w:rPr>
        <w:t>18.</w:t>
      </w:r>
      <w:bookmarkEnd w:id="282"/>
      <w:r>
        <w:rPr>
          <w:rFonts w:hint="default" w:ascii="Times New Roman" w:hAnsi="Times New Roman" w:eastAsia="仿宋_GB2312" w:cs="Times New Roman"/>
          <w:b/>
          <w:bCs/>
          <w:sz w:val="24"/>
          <w:szCs w:val="20"/>
          <w:lang w:val="en-US" w:eastAsia="zh-CN"/>
        </w:rPr>
        <w:t>比选委员会的组建及其评比选工作按照有关法律制度和本文件第六章的规定进行。</w:t>
      </w:r>
      <w:bookmarkEnd w:id="286"/>
      <w:bookmarkEnd w:id="287"/>
      <w:bookmarkEnd w:id="288"/>
      <w:bookmarkEnd w:id="289"/>
    </w:p>
    <w:bookmarkEnd w:id="283"/>
    <w:bookmarkEnd w:id="284"/>
    <w:bookmarkEnd w:id="285"/>
    <w:p w14:paraId="37FFD102">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290" w:name="_Toc217446060"/>
      <w:bookmarkStart w:id="291" w:name="_Toc8884"/>
      <w:bookmarkStart w:id="292" w:name="_Toc1678"/>
      <w:bookmarkStart w:id="293" w:name="_Toc32242"/>
      <w:bookmarkStart w:id="294" w:name="_Toc16189"/>
      <w:bookmarkStart w:id="295" w:name="_Toc9906"/>
      <w:r>
        <w:rPr>
          <w:rFonts w:hint="default" w:ascii="Times New Roman" w:hAnsi="Times New Roman" w:eastAsia="黑体" w:cs="Times New Roman"/>
          <w:b w:val="0"/>
          <w:bCs w:val="0"/>
          <w:sz w:val="24"/>
          <w:szCs w:val="20"/>
          <w:lang w:val="en-US" w:eastAsia="zh-CN"/>
        </w:rPr>
        <w:t>六、定</w:t>
      </w:r>
      <w:bookmarkEnd w:id="290"/>
      <w:bookmarkStart w:id="296" w:name="_Toc217446061"/>
      <w:r>
        <w:rPr>
          <w:rFonts w:hint="default" w:ascii="Times New Roman" w:hAnsi="Times New Roman" w:eastAsia="黑体" w:cs="Times New Roman"/>
          <w:b w:val="0"/>
          <w:bCs w:val="0"/>
          <w:sz w:val="24"/>
          <w:szCs w:val="20"/>
          <w:lang w:val="en-US" w:eastAsia="zh-CN"/>
        </w:rPr>
        <w:t>选</w:t>
      </w:r>
      <w:bookmarkEnd w:id="291"/>
      <w:bookmarkEnd w:id="292"/>
      <w:bookmarkEnd w:id="293"/>
      <w:bookmarkEnd w:id="294"/>
      <w:bookmarkEnd w:id="295"/>
    </w:p>
    <w:p w14:paraId="01E826B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97" w:name="_Toc32342"/>
      <w:bookmarkStart w:id="298" w:name="_Toc2287"/>
      <w:bookmarkStart w:id="299" w:name="_Toc3455"/>
      <w:bookmarkStart w:id="300" w:name="_Toc173"/>
      <w:bookmarkStart w:id="301" w:name="_Toc7455"/>
      <w:r>
        <w:rPr>
          <w:rFonts w:hint="default" w:ascii="Times New Roman" w:hAnsi="Times New Roman" w:eastAsia="仿宋_GB2312" w:cs="Times New Roman"/>
          <w:b/>
          <w:bCs/>
          <w:sz w:val="24"/>
          <w:szCs w:val="20"/>
          <w:lang w:val="en-US" w:eastAsia="zh-CN"/>
        </w:rPr>
        <w:t>19.定选原则</w:t>
      </w:r>
      <w:bookmarkEnd w:id="296"/>
      <w:bookmarkEnd w:id="297"/>
      <w:bookmarkEnd w:id="298"/>
      <w:bookmarkEnd w:id="299"/>
      <w:bookmarkEnd w:id="300"/>
      <w:bookmarkEnd w:id="301"/>
    </w:p>
    <w:p w14:paraId="3166295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根据比委会推荐的中选候选人名单，按顺序确定中选人。</w:t>
      </w:r>
    </w:p>
    <w:p w14:paraId="73A4153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02" w:name="_Toc22804"/>
      <w:bookmarkStart w:id="303" w:name="_Toc25804"/>
      <w:bookmarkStart w:id="304" w:name="_Toc20998"/>
      <w:bookmarkStart w:id="305" w:name="_Toc217446062"/>
      <w:bookmarkStart w:id="306" w:name="_Toc14429"/>
      <w:bookmarkStart w:id="307" w:name="_Toc30697"/>
      <w:r>
        <w:rPr>
          <w:rFonts w:hint="default" w:ascii="Times New Roman" w:hAnsi="Times New Roman" w:eastAsia="仿宋_GB2312" w:cs="Times New Roman"/>
          <w:b/>
          <w:bCs/>
          <w:sz w:val="24"/>
          <w:szCs w:val="20"/>
          <w:lang w:val="en-US" w:eastAsia="zh-CN"/>
        </w:rPr>
        <w:t>20.定选程序</w:t>
      </w:r>
      <w:bookmarkEnd w:id="302"/>
      <w:bookmarkEnd w:id="303"/>
      <w:bookmarkEnd w:id="304"/>
      <w:bookmarkEnd w:id="305"/>
      <w:bookmarkEnd w:id="306"/>
      <w:bookmarkEnd w:id="307"/>
    </w:p>
    <w:p w14:paraId="2181D89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20.1比委会将评选情况写出书面报告，推荐中选候选人，并按照综合得分高低标明排列顺序。综合得分相同的，按比选报价由低到高顺序排列。得分且比选报价相同的，按技术指标优劣顺序排列。</w:t>
      </w:r>
    </w:p>
    <w:p w14:paraId="0FB3103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20.2比选人在收到评选报告后，按照评选报告中推荐的中选候选人顺序确定中选人。</w:t>
      </w:r>
    </w:p>
    <w:p w14:paraId="7892CB3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20.3根据比选人确定的中选人，在中国农业科学院都市农业研究所官网上发布中选结果公告，并向中选人发出中选通知书。</w:t>
      </w:r>
    </w:p>
    <w:p w14:paraId="4F6CC26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20.4比选人不解释中选或落选原因，不退回响应文件和其他比选资料。</w:t>
      </w:r>
    </w:p>
    <w:p w14:paraId="2BD66B9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08" w:name="_Toc183582238"/>
      <w:bookmarkStart w:id="309" w:name="_Toc183682375"/>
      <w:bookmarkStart w:id="310" w:name="_Toc16057"/>
      <w:bookmarkStart w:id="311" w:name="_Toc32386"/>
      <w:bookmarkStart w:id="312" w:name="_Toc24329"/>
      <w:bookmarkStart w:id="313" w:name="_Toc1641"/>
      <w:bookmarkStart w:id="314" w:name="_Toc217446063"/>
      <w:bookmarkStart w:id="315" w:name="_Toc20549"/>
      <w:r>
        <w:rPr>
          <w:rFonts w:hint="default" w:ascii="Times New Roman" w:hAnsi="Times New Roman" w:eastAsia="仿宋_GB2312" w:cs="Times New Roman"/>
          <w:b/>
          <w:bCs/>
          <w:sz w:val="24"/>
          <w:szCs w:val="20"/>
          <w:lang w:val="en-US" w:eastAsia="zh-CN"/>
        </w:rPr>
        <w:t>21.中选通知</w:t>
      </w:r>
      <w:bookmarkEnd w:id="308"/>
      <w:bookmarkEnd w:id="309"/>
      <w:r>
        <w:rPr>
          <w:rFonts w:hint="default" w:ascii="Times New Roman" w:hAnsi="Times New Roman" w:eastAsia="仿宋_GB2312" w:cs="Times New Roman"/>
          <w:b/>
          <w:bCs/>
          <w:sz w:val="24"/>
          <w:szCs w:val="20"/>
          <w:lang w:val="en-US" w:eastAsia="zh-CN"/>
        </w:rPr>
        <w:t>书</w:t>
      </w:r>
      <w:bookmarkEnd w:id="310"/>
      <w:bookmarkEnd w:id="311"/>
      <w:bookmarkEnd w:id="312"/>
      <w:bookmarkEnd w:id="313"/>
      <w:bookmarkEnd w:id="314"/>
      <w:bookmarkEnd w:id="315"/>
    </w:p>
    <w:p w14:paraId="28DCD84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21.1中选通知书为签订采购合同的依据，是合同的有效组成部分。</w:t>
      </w:r>
    </w:p>
    <w:p w14:paraId="1750834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21.2中选通知书对比选人和中选人均具有法律效力。中选通知书发出后，比选人改变中选结果，或者中选人无正当理由放弃中选的，应当承担相应的法律责任。</w:t>
      </w:r>
    </w:p>
    <w:p w14:paraId="400C3D9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21．3中选人的响应文件本应作为无效比选处理或者有比选采购法律法规规章制度规定的中选无效情形的，应当宣布发出的中选通知书无效，并收回发出的中选通知书（中选人也应当缴回），依法重新确定中选人或者重新开展采购活动。</w:t>
      </w:r>
    </w:p>
    <w:p w14:paraId="66254AA0">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316" w:name="_Toc8142"/>
      <w:bookmarkStart w:id="317" w:name="_Toc7509"/>
      <w:bookmarkStart w:id="318" w:name="_Toc29611"/>
      <w:bookmarkStart w:id="319" w:name="_Toc23140"/>
      <w:bookmarkStart w:id="320" w:name="_Toc4052"/>
      <w:r>
        <w:rPr>
          <w:rFonts w:hint="default" w:ascii="Times New Roman" w:hAnsi="Times New Roman" w:eastAsia="黑体" w:cs="Times New Roman"/>
          <w:b w:val="0"/>
          <w:bCs w:val="0"/>
          <w:sz w:val="24"/>
          <w:szCs w:val="20"/>
          <w:lang w:val="en-US" w:eastAsia="zh-CN"/>
        </w:rPr>
        <w:t>七、合同事项</w:t>
      </w:r>
      <w:bookmarkEnd w:id="316"/>
      <w:bookmarkEnd w:id="317"/>
      <w:bookmarkEnd w:id="318"/>
      <w:bookmarkEnd w:id="319"/>
      <w:bookmarkEnd w:id="320"/>
    </w:p>
    <w:p w14:paraId="4DF8341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21" w:name="_Toc17648"/>
      <w:bookmarkStart w:id="322" w:name="_Toc101250646"/>
      <w:bookmarkStart w:id="323" w:name="_Toc101174151"/>
      <w:bookmarkStart w:id="324" w:name="_Toc209847069"/>
      <w:bookmarkStart w:id="325" w:name="_Toc16795"/>
      <w:bookmarkStart w:id="326" w:name="_Toc430773927"/>
      <w:bookmarkStart w:id="327" w:name="_Toc11971"/>
      <w:bookmarkStart w:id="328" w:name="_Toc24955"/>
      <w:bookmarkStart w:id="329" w:name="_Toc4434"/>
      <w:bookmarkStart w:id="330" w:name="_Toc101338364"/>
      <w:r>
        <w:rPr>
          <w:rFonts w:hint="default" w:ascii="Times New Roman" w:hAnsi="Times New Roman" w:eastAsia="仿宋_GB2312" w:cs="Times New Roman"/>
          <w:b/>
          <w:bCs/>
          <w:sz w:val="24"/>
          <w:szCs w:val="20"/>
          <w:lang w:val="en-US" w:eastAsia="zh-CN"/>
        </w:rPr>
        <w:t>22.签订合同</w:t>
      </w:r>
      <w:bookmarkEnd w:id="321"/>
      <w:bookmarkEnd w:id="322"/>
      <w:bookmarkEnd w:id="323"/>
      <w:bookmarkEnd w:id="324"/>
      <w:bookmarkEnd w:id="325"/>
      <w:bookmarkEnd w:id="326"/>
      <w:bookmarkEnd w:id="327"/>
      <w:bookmarkEnd w:id="328"/>
      <w:bookmarkEnd w:id="329"/>
      <w:bookmarkEnd w:id="330"/>
    </w:p>
    <w:p w14:paraId="462E7D6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22.1中选人应在成交通知书发出之日起三十日内与比选人签订合同。由于中选人的原因逾期未与比选人签订合同的，将视为放弃成交，取消其成交资格并将按相关规定进行处理。</w:t>
      </w:r>
    </w:p>
    <w:p w14:paraId="5EE275E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22.2比选文件、中选人的响应文件及双方确认的澄清文件等，均为有法律约束力的合同组成部分。</w:t>
      </w:r>
    </w:p>
    <w:p w14:paraId="18C9DF2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22.3比选人不得向中选人提出任何不合理的要求，作为签订合同的条件，不得与中选人私下订立背离合同实质性内容的任何协议，所签订的合同不得对比选文件和中选人响应文件确定的事项进行修改。</w:t>
      </w:r>
    </w:p>
    <w:p w14:paraId="0FFDE54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22.4中选人因不可抗力原因不能履行合同或放弃成交的，比选人可以与排在中选人之后第一位的中选候选人签订合同，以此类推。</w:t>
      </w:r>
    </w:p>
    <w:p w14:paraId="27E1102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31" w:name="_Toc412"/>
      <w:bookmarkStart w:id="332" w:name="_Toc31735"/>
      <w:bookmarkStart w:id="333" w:name="_Toc14294"/>
      <w:bookmarkStart w:id="334" w:name="_Toc7885"/>
      <w:bookmarkStart w:id="335" w:name="_Toc2393"/>
      <w:r>
        <w:rPr>
          <w:rFonts w:hint="default" w:ascii="Times New Roman" w:hAnsi="Times New Roman" w:eastAsia="仿宋_GB2312" w:cs="Times New Roman"/>
          <w:b/>
          <w:bCs/>
          <w:sz w:val="24"/>
          <w:szCs w:val="20"/>
          <w:lang w:val="en-US" w:eastAsia="zh-CN"/>
        </w:rPr>
        <w:t>23.合同分包（实质性要求）</w:t>
      </w:r>
      <w:bookmarkEnd w:id="331"/>
      <w:bookmarkEnd w:id="332"/>
      <w:bookmarkEnd w:id="333"/>
      <w:bookmarkEnd w:id="334"/>
      <w:bookmarkEnd w:id="335"/>
    </w:p>
    <w:p w14:paraId="59B0611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本项目不接受分包。</w:t>
      </w:r>
    </w:p>
    <w:p w14:paraId="068C232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36" w:name="_Toc11879"/>
      <w:bookmarkStart w:id="337" w:name="_Toc29246"/>
      <w:bookmarkStart w:id="338" w:name="_Toc4464"/>
      <w:bookmarkStart w:id="339" w:name="_Toc30675"/>
      <w:bookmarkStart w:id="340" w:name="_Toc30490"/>
      <w:r>
        <w:rPr>
          <w:rFonts w:hint="default" w:ascii="Times New Roman" w:hAnsi="Times New Roman" w:eastAsia="仿宋_GB2312" w:cs="Times New Roman"/>
          <w:b/>
          <w:bCs/>
          <w:sz w:val="24"/>
          <w:szCs w:val="20"/>
          <w:lang w:val="en-US" w:eastAsia="zh-CN"/>
        </w:rPr>
        <w:t>24.合同转包（实质性要求）</w:t>
      </w:r>
      <w:bookmarkEnd w:id="336"/>
      <w:bookmarkEnd w:id="337"/>
      <w:bookmarkEnd w:id="338"/>
      <w:bookmarkEnd w:id="339"/>
      <w:bookmarkEnd w:id="340"/>
    </w:p>
    <w:p w14:paraId="2B7ED0F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24.1本项目严禁中选人将任何合同义务转包。本项目所称转包，是指中选人采购合同义务转让给第三人，并退出现有合同当事人双方的权利义务关系，受让人（即第三人）成为采购合同的另一方当事人的行为。</w:t>
      </w:r>
    </w:p>
    <w:p w14:paraId="54F909D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24.2中选人转包的，视同拒绝履行采购合同义务，将依法追究法律责任。</w:t>
      </w:r>
    </w:p>
    <w:p w14:paraId="79FF6CF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41" w:name="_Toc31345"/>
      <w:bookmarkStart w:id="342" w:name="_Toc7621"/>
      <w:bookmarkStart w:id="343" w:name="_Toc7661"/>
      <w:bookmarkStart w:id="344" w:name="_Toc2083"/>
      <w:bookmarkStart w:id="345" w:name="_Toc16169"/>
      <w:r>
        <w:rPr>
          <w:rFonts w:hint="default" w:ascii="Times New Roman" w:hAnsi="Times New Roman" w:eastAsia="仿宋_GB2312" w:cs="Times New Roman"/>
          <w:b/>
          <w:bCs/>
          <w:sz w:val="24"/>
          <w:szCs w:val="20"/>
          <w:lang w:val="en-US" w:eastAsia="zh-CN"/>
        </w:rPr>
        <w:t>25.补充合同</w:t>
      </w:r>
      <w:bookmarkEnd w:id="341"/>
      <w:bookmarkEnd w:id="342"/>
      <w:bookmarkEnd w:id="343"/>
      <w:bookmarkEnd w:id="344"/>
      <w:bookmarkEnd w:id="345"/>
    </w:p>
    <w:p w14:paraId="29820CD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合同履行过程中，比选人需要追加与合同标的相同的货物或者服务的，在不改变合同其他条款的前提下，可以与中选人协商签订补充合同。</w:t>
      </w:r>
    </w:p>
    <w:p w14:paraId="500B57F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46" w:name="_Toc24847"/>
      <w:bookmarkStart w:id="347" w:name="_Toc7971"/>
      <w:bookmarkStart w:id="348" w:name="_Toc7666"/>
      <w:bookmarkStart w:id="349" w:name="_Toc4479"/>
      <w:bookmarkStart w:id="350" w:name="_Toc3499"/>
      <w:r>
        <w:rPr>
          <w:rFonts w:hint="default" w:ascii="Times New Roman" w:hAnsi="Times New Roman" w:eastAsia="仿宋_GB2312" w:cs="Times New Roman"/>
          <w:b/>
          <w:bCs/>
          <w:sz w:val="24"/>
          <w:szCs w:val="20"/>
          <w:lang w:val="en-US" w:eastAsia="zh-CN"/>
        </w:rPr>
        <w:t>26.履行合同</w:t>
      </w:r>
      <w:bookmarkEnd w:id="346"/>
      <w:bookmarkEnd w:id="347"/>
      <w:bookmarkEnd w:id="348"/>
      <w:bookmarkEnd w:id="349"/>
      <w:bookmarkEnd w:id="350"/>
    </w:p>
    <w:p w14:paraId="2FA7264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26.1中选人与比选人签订合同后，合同双方应严格执行合同条款，履行合同规定的义务，保证合同的顺利完成。</w:t>
      </w:r>
    </w:p>
    <w:p w14:paraId="25F86B7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26.2在合同履行过程中，如发生合同纠纷，合同双方应按照《中华人民共和国民法典》的有关规定进行处理。</w:t>
      </w:r>
    </w:p>
    <w:p w14:paraId="5748991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51" w:name="_Toc371"/>
      <w:bookmarkStart w:id="352" w:name="_Toc6167"/>
      <w:bookmarkStart w:id="353" w:name="_Toc12284"/>
      <w:bookmarkStart w:id="354" w:name="_Toc19713"/>
      <w:bookmarkStart w:id="355" w:name="_Toc32729"/>
      <w:r>
        <w:rPr>
          <w:rFonts w:hint="default" w:ascii="Times New Roman" w:hAnsi="Times New Roman" w:eastAsia="仿宋_GB2312" w:cs="Times New Roman"/>
          <w:b/>
          <w:bCs/>
          <w:sz w:val="24"/>
          <w:szCs w:val="20"/>
          <w:lang w:val="en-US" w:eastAsia="zh-CN"/>
        </w:rPr>
        <w:t>27.验收</w:t>
      </w:r>
      <w:bookmarkEnd w:id="351"/>
      <w:bookmarkEnd w:id="352"/>
      <w:bookmarkEnd w:id="353"/>
      <w:bookmarkEnd w:id="354"/>
      <w:bookmarkEnd w:id="355"/>
    </w:p>
    <w:p w14:paraId="74D8562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356" w:name="_Toc15133"/>
      <w:bookmarkStart w:id="357" w:name="_Toc20974"/>
      <w:bookmarkStart w:id="358" w:name="_Toc23279"/>
      <w:r>
        <w:rPr>
          <w:rFonts w:hint="default" w:ascii="Times New Roman" w:hAnsi="Times New Roman" w:eastAsia="仿宋_GB2312" w:cs="Times New Roman"/>
          <w:sz w:val="24"/>
          <w:szCs w:val="20"/>
          <w:lang w:val="en-US" w:eastAsia="zh-CN"/>
        </w:rPr>
        <w:t>27.1本项目比选人将严格按照相关法律法规的要求进行验收。</w:t>
      </w:r>
      <w:bookmarkEnd w:id="356"/>
      <w:bookmarkEnd w:id="357"/>
      <w:bookmarkEnd w:id="358"/>
    </w:p>
    <w:p w14:paraId="7EA93E2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27.2验收结果合格的，中选人凭验收报告办理相关手续；验收结果不合格的，将不予支付相关资金。</w:t>
      </w:r>
    </w:p>
    <w:p w14:paraId="1D8056E8">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359" w:name="_Toc16740"/>
      <w:bookmarkStart w:id="360" w:name="_Toc8027"/>
      <w:bookmarkStart w:id="361" w:name="_Toc10040"/>
      <w:bookmarkStart w:id="362" w:name="_Toc18175"/>
      <w:bookmarkStart w:id="363" w:name="_Toc217446074"/>
      <w:bookmarkStart w:id="364" w:name="_Toc183582243"/>
      <w:bookmarkStart w:id="365" w:name="_Toc183682380"/>
      <w:r>
        <w:rPr>
          <w:rFonts w:hint="default" w:ascii="Times New Roman" w:hAnsi="Times New Roman" w:eastAsia="黑体" w:cs="Times New Roman"/>
          <w:b w:val="0"/>
          <w:bCs w:val="0"/>
          <w:sz w:val="24"/>
          <w:szCs w:val="20"/>
          <w:lang w:val="en-US" w:eastAsia="zh-CN"/>
        </w:rPr>
        <w:t>八、比选纪律要求</w:t>
      </w:r>
      <w:bookmarkEnd w:id="359"/>
      <w:bookmarkEnd w:id="360"/>
      <w:bookmarkEnd w:id="361"/>
      <w:bookmarkEnd w:id="362"/>
      <w:bookmarkEnd w:id="363"/>
    </w:p>
    <w:p w14:paraId="3F3D9BA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66" w:name="_Toc217446075"/>
      <w:bookmarkStart w:id="367" w:name="_Toc5498"/>
      <w:bookmarkStart w:id="368" w:name="_Toc30938"/>
      <w:bookmarkStart w:id="369" w:name="_Toc8998"/>
      <w:bookmarkStart w:id="370" w:name="_Toc5189"/>
      <w:bookmarkStart w:id="371" w:name="_Toc17821"/>
      <w:r>
        <w:rPr>
          <w:rFonts w:hint="default" w:ascii="Times New Roman" w:hAnsi="Times New Roman" w:eastAsia="仿宋_GB2312" w:cs="Times New Roman"/>
          <w:b/>
          <w:bCs/>
          <w:sz w:val="24"/>
          <w:szCs w:val="20"/>
          <w:lang w:val="en-US" w:eastAsia="zh-CN"/>
        </w:rPr>
        <w:t>28.申请人不得具有的情形</w:t>
      </w:r>
      <w:bookmarkEnd w:id="366"/>
      <w:bookmarkEnd w:id="367"/>
      <w:bookmarkEnd w:id="368"/>
      <w:bookmarkEnd w:id="369"/>
      <w:bookmarkEnd w:id="370"/>
      <w:bookmarkEnd w:id="371"/>
    </w:p>
    <w:p w14:paraId="221667D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申请人参加比选不得有下列情形：</w:t>
      </w:r>
    </w:p>
    <w:p w14:paraId="004B9E2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（1）提供虚假材料谋取中选；</w:t>
      </w:r>
    </w:p>
    <w:p w14:paraId="4EF823D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（2）采取不正当手段诋毁、排挤其他申请人；</w:t>
      </w:r>
    </w:p>
    <w:p w14:paraId="6B68006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（3）与比选人、其他申请人恶意串通；</w:t>
      </w:r>
    </w:p>
    <w:p w14:paraId="5A4847E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（4）向比选人、比选委员会成员行贿或者提供其他不正当利益；</w:t>
      </w:r>
    </w:p>
    <w:p w14:paraId="7DC8F79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（5）在比选过程中与比选人进行协商谈判；</w:t>
      </w:r>
    </w:p>
    <w:p w14:paraId="40364B6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（6）拒绝有关部门的监督检查或者向监督检查部门提供虚假情况。</w:t>
      </w:r>
    </w:p>
    <w:p w14:paraId="2DB9823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有上述情形之一的申请人，属于不合格申请人，其比选或中选资格将被取消。</w:t>
      </w:r>
    </w:p>
    <w:p w14:paraId="196F1DDB">
      <w:pPr>
        <w:bidi w:val="0"/>
        <w:rPr>
          <w:rFonts w:hint="default" w:ascii="Times New Roman" w:hAnsi="Times New Roman" w:cs="Times New Roman"/>
          <w:lang w:val="en-US" w:eastAsia="zh-CN"/>
        </w:rPr>
      </w:pPr>
    </w:p>
    <w:bookmarkEnd w:id="364"/>
    <w:bookmarkEnd w:id="365"/>
    <w:p w14:paraId="5443478D">
      <w:pPr>
        <w:pStyle w:val="7"/>
        <w:adjustRightInd w:val="0"/>
        <w:snapToGrid w:val="0"/>
        <w:spacing w:line="400" w:lineRule="exact"/>
        <w:ind w:firstLine="480"/>
        <w:rPr>
          <w:rFonts w:hint="default" w:ascii="Times New Roman" w:hAnsi="Times New Roman" w:eastAsia="仿宋" w:cs="Times New Roman"/>
          <w:sz w:val="24"/>
        </w:rPr>
      </w:pPr>
    </w:p>
    <w:p w14:paraId="12170E96">
      <w:pPr>
        <w:pStyle w:val="7"/>
        <w:adjustRightInd w:val="0"/>
        <w:snapToGrid w:val="0"/>
        <w:spacing w:line="400" w:lineRule="exact"/>
        <w:ind w:firstLine="480"/>
        <w:rPr>
          <w:rFonts w:hint="default" w:ascii="Times New Roman" w:hAnsi="Times New Roman" w:eastAsia="仿宋" w:cs="Times New Roman"/>
          <w:sz w:val="24"/>
        </w:rPr>
      </w:pPr>
    </w:p>
    <w:p w14:paraId="301F9809">
      <w:pPr>
        <w:pStyle w:val="4"/>
        <w:adjustRightInd w:val="0"/>
        <w:snapToGrid w:val="0"/>
        <w:spacing w:before="0" w:after="0" w:line="400" w:lineRule="exact"/>
        <w:jc w:val="center"/>
        <w:outlineLvl w:val="9"/>
        <w:rPr>
          <w:rFonts w:hint="default" w:ascii="Times New Roman" w:hAnsi="Times New Roman" w:eastAsia="仿宋" w:cs="Times New Roman"/>
          <w:bCs w:val="0"/>
          <w:sz w:val="32"/>
          <w:szCs w:val="32"/>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bookmarkStart w:id="372" w:name="_Toc217446081"/>
    </w:p>
    <w:p w14:paraId="59B2C26A">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方正公文小标宋" w:cs="Times New Roman"/>
        </w:rPr>
      </w:pPr>
      <w:bookmarkStart w:id="373" w:name="_Toc21934"/>
      <w:bookmarkStart w:id="374" w:name="_Toc6902"/>
      <w:bookmarkStart w:id="375" w:name="_Toc10576"/>
      <w:bookmarkStart w:id="376" w:name="_Toc217446092"/>
      <w:bookmarkStart w:id="377" w:name="_Toc7107"/>
      <w:bookmarkStart w:id="378" w:name="_Toc57726982"/>
      <w:bookmarkStart w:id="379" w:name="_Toc29435"/>
      <w:bookmarkStart w:id="380" w:name="_Toc9551"/>
      <w:bookmarkStart w:id="381" w:name="_Toc26906"/>
      <w:bookmarkStart w:id="382" w:name="_Toc57726981"/>
      <w:bookmarkStart w:id="383" w:name="_Toc10416"/>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三</w:t>
      </w:r>
      <w:r>
        <w:rPr>
          <w:rFonts w:hint="default" w:ascii="Times New Roman" w:hAnsi="Times New Roman" w:eastAsia="方正公文小标宋" w:cs="Times New Roman"/>
        </w:rPr>
        <w:t>章</w:t>
      </w:r>
      <w:r>
        <w:rPr>
          <w:rFonts w:hint="default" w:ascii="Times New Roman" w:hAnsi="Times New Roman" w:eastAsia="方正公文小标宋" w:cs="Times New Roman"/>
          <w:lang w:val="en-US" w:eastAsia="zh-CN"/>
        </w:rPr>
        <w:t xml:space="preserve">  </w:t>
      </w:r>
      <w:r>
        <w:rPr>
          <w:rFonts w:hint="default" w:ascii="Times New Roman" w:hAnsi="Times New Roman" w:eastAsia="方正公文小标宋" w:cs="Times New Roman"/>
        </w:rPr>
        <w:t>资格证明文件</w:t>
      </w:r>
      <w:bookmarkEnd w:id="373"/>
      <w:bookmarkEnd w:id="374"/>
      <w:bookmarkEnd w:id="375"/>
      <w:bookmarkEnd w:id="376"/>
      <w:bookmarkEnd w:id="377"/>
      <w:bookmarkEnd w:id="378"/>
      <w:bookmarkEnd w:id="379"/>
      <w:bookmarkEnd w:id="380"/>
      <w:bookmarkEnd w:id="381"/>
    </w:p>
    <w:p w14:paraId="6CC2B826">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384" w:name="_Toc3304"/>
      <w:bookmarkStart w:id="385" w:name="_Toc3144"/>
      <w:bookmarkStart w:id="386" w:name="_Toc15352"/>
      <w:bookmarkStart w:id="387" w:name="_Toc14426"/>
      <w:bookmarkStart w:id="388" w:name="_Toc20045"/>
      <w:r>
        <w:rPr>
          <w:rFonts w:hint="default" w:ascii="Times New Roman" w:hAnsi="Times New Roman" w:eastAsia="黑体" w:cs="Times New Roman"/>
          <w:b w:val="0"/>
          <w:bCs w:val="0"/>
          <w:sz w:val="24"/>
          <w:szCs w:val="20"/>
          <w:lang w:val="en-US" w:eastAsia="zh-CN"/>
        </w:rPr>
        <w:t>一、申请人应提交的资格</w:t>
      </w:r>
      <w:r>
        <w:rPr>
          <w:rFonts w:hint="eastAsia" w:ascii="Times New Roman" w:eastAsia="黑体" w:cs="Times New Roman"/>
          <w:b w:val="0"/>
          <w:bCs w:val="0"/>
          <w:sz w:val="24"/>
          <w:szCs w:val="20"/>
          <w:lang w:val="en-US" w:eastAsia="zh-CN"/>
        </w:rPr>
        <w:t>要求相关</w:t>
      </w:r>
      <w:r>
        <w:rPr>
          <w:rFonts w:hint="default" w:ascii="Times New Roman" w:hAnsi="Times New Roman" w:eastAsia="黑体" w:cs="Times New Roman"/>
          <w:b w:val="0"/>
          <w:bCs w:val="0"/>
          <w:sz w:val="24"/>
          <w:szCs w:val="20"/>
          <w:lang w:val="en-US" w:eastAsia="zh-CN"/>
        </w:rPr>
        <w:t>证明材料</w:t>
      </w:r>
      <w:bookmarkEnd w:id="384"/>
      <w:bookmarkEnd w:id="385"/>
      <w:bookmarkEnd w:id="386"/>
      <w:bookmarkEnd w:id="387"/>
      <w:bookmarkEnd w:id="388"/>
    </w:p>
    <w:p w14:paraId="5000A9B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1.</w:t>
      </w:r>
      <w:r>
        <w:rPr>
          <w:rFonts w:hint="default" w:ascii="Times New Roman" w:hAnsi="Times New Roman" w:eastAsia="仿宋_GB2312" w:cs="Times New Roman"/>
          <w:sz w:val="24"/>
          <w:szCs w:val="20"/>
          <w:lang w:val="en-US" w:eastAsia="zh-CN"/>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3330D6A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2.</w:t>
      </w:r>
      <w:r>
        <w:rPr>
          <w:rFonts w:hint="default" w:ascii="Times New Roman" w:hAnsi="Times New Roman" w:eastAsia="仿宋_GB2312" w:cs="Times New Roman"/>
          <w:sz w:val="24"/>
          <w:szCs w:val="20"/>
          <w:lang w:val="en-US" w:eastAsia="zh-CN"/>
        </w:rPr>
        <w:t>具备健全的财务会计制度的证明材料</w:t>
      </w:r>
      <w:bookmarkStart w:id="389" w:name="_Hlk121480582"/>
      <w:r>
        <w:rPr>
          <w:rFonts w:hint="default" w:ascii="Times New Roman" w:hAnsi="Times New Roman" w:eastAsia="仿宋_GB2312" w:cs="Times New Roman"/>
          <w:sz w:val="24"/>
          <w:szCs w:val="20"/>
          <w:lang w:val="en-US" w:eastAsia="zh-CN"/>
        </w:rPr>
        <w:t>｛注：①可提供2024年度经审计的财务报告复印件（包含审计报告和审计报告中所涉及的财务报表和报表附注）；②也可提供2024年度供应商内部的财务报表复印件（至少包含资产负债表）；③也可提供距文件递交截止日一年内银行出具的资信证明（复印件）；④供应商注册时间截至比选申请文件递交截止日不足一年的，也可提供加盖工商备案主管部门印章的公司章程复印件｝</w:t>
      </w:r>
      <w:bookmarkEnd w:id="389"/>
      <w:r>
        <w:rPr>
          <w:rFonts w:hint="default" w:ascii="Times New Roman" w:hAnsi="Times New Roman" w:eastAsia="仿宋_GB2312" w:cs="Times New Roman"/>
          <w:sz w:val="24"/>
          <w:szCs w:val="20"/>
          <w:lang w:val="en-US" w:eastAsia="zh-CN"/>
        </w:rPr>
        <w:t>；</w:t>
      </w:r>
    </w:p>
    <w:p w14:paraId="7C179CB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bookmarkStart w:id="390" w:name="_Toc14437"/>
      <w:bookmarkStart w:id="391" w:name="_Toc26348"/>
      <w:bookmarkStart w:id="392" w:name="_Toc2988"/>
      <w:r>
        <w:rPr>
          <w:rFonts w:hint="eastAsia" w:ascii="Times New Roman" w:eastAsia="仿宋_GB2312" w:cs="Times New Roman"/>
          <w:sz w:val="24"/>
          <w:szCs w:val="20"/>
          <w:lang w:val="en-US" w:eastAsia="zh-CN"/>
        </w:rPr>
        <w:t>3.</w:t>
      </w:r>
      <w:r>
        <w:rPr>
          <w:rFonts w:hint="default" w:ascii="Times New Roman" w:hAnsi="Times New Roman" w:eastAsia="仿宋_GB2312" w:cs="Times New Roman"/>
          <w:sz w:val="24"/>
          <w:szCs w:val="20"/>
          <w:lang w:val="en-US" w:eastAsia="zh-CN"/>
        </w:rPr>
        <w:t>具备良好商业信誉的证明材料（可提供承诺函）；</w:t>
      </w:r>
      <w:bookmarkEnd w:id="390"/>
      <w:bookmarkEnd w:id="391"/>
      <w:bookmarkEnd w:id="392"/>
    </w:p>
    <w:p w14:paraId="45AA190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4.</w:t>
      </w:r>
      <w:r>
        <w:rPr>
          <w:rFonts w:hint="default" w:ascii="Times New Roman" w:hAnsi="Times New Roman" w:eastAsia="仿宋_GB2312" w:cs="Times New Roman"/>
          <w:sz w:val="24"/>
          <w:szCs w:val="20"/>
          <w:lang w:val="en-US" w:eastAsia="zh-CN"/>
        </w:rPr>
        <w:t>具有依法缴纳税收和社会保障资金的良好记录（可提供承诺函）；</w:t>
      </w:r>
    </w:p>
    <w:p w14:paraId="2EB3F49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5.</w:t>
      </w:r>
      <w:r>
        <w:rPr>
          <w:rFonts w:hint="default" w:ascii="Times New Roman" w:hAnsi="Times New Roman" w:eastAsia="仿宋_GB2312" w:cs="Times New Roman"/>
          <w:sz w:val="24"/>
          <w:szCs w:val="20"/>
          <w:lang w:val="en-US" w:eastAsia="zh-CN"/>
        </w:rPr>
        <w:t>具备履行合同所必需的设备和专业技术能力的证明材料（可提供承诺函）；</w:t>
      </w:r>
    </w:p>
    <w:p w14:paraId="4F2739C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6.</w:t>
      </w:r>
      <w:r>
        <w:rPr>
          <w:rFonts w:hint="default" w:ascii="Times New Roman" w:hAnsi="Times New Roman" w:eastAsia="仿宋_GB2312" w:cs="Times New Roman"/>
          <w:sz w:val="24"/>
          <w:szCs w:val="20"/>
          <w:lang w:val="en-US" w:eastAsia="zh-CN"/>
        </w:rPr>
        <w:t>参加采购活动前3年内在经营活动中没有重大违法记录的承诺函；</w:t>
      </w:r>
    </w:p>
    <w:p w14:paraId="4D25834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7.</w:t>
      </w:r>
      <w:r>
        <w:rPr>
          <w:rFonts w:hint="default" w:ascii="Times New Roman" w:hAnsi="Times New Roman" w:eastAsia="仿宋_GB2312" w:cs="Times New Roman"/>
          <w:sz w:val="24"/>
          <w:szCs w:val="20"/>
          <w:lang w:val="en-US" w:eastAsia="zh-CN"/>
        </w:rPr>
        <w:t>具备法律、行政法规规定的其他条件的证明材料（可提供承诺函）；</w:t>
      </w:r>
    </w:p>
    <w:p w14:paraId="0FCCBD1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8.</w:t>
      </w:r>
      <w:r>
        <w:rPr>
          <w:rFonts w:hint="default" w:ascii="Times New Roman" w:hAnsi="Times New Roman" w:eastAsia="仿宋_GB2312" w:cs="Times New Roman"/>
          <w:sz w:val="24"/>
          <w:szCs w:val="20"/>
          <w:lang w:val="en-US" w:eastAsia="zh-CN"/>
        </w:rPr>
        <w:t>本项目的特定资格要求：</w:t>
      </w:r>
    </w:p>
    <w:p w14:paraId="5077473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8.1具有行政主管部门颁发的</w:t>
      </w:r>
      <w:r>
        <w:rPr>
          <w:rFonts w:hint="eastAsia" w:ascii="Times New Roman" w:eastAsia="仿宋_GB2312" w:cs="Times New Roman"/>
          <w:sz w:val="24"/>
          <w:szCs w:val="20"/>
          <w:lang w:val="en-US" w:eastAsia="zh-CN"/>
        </w:rPr>
        <w:t>装修</w:t>
      </w:r>
      <w:r>
        <w:rPr>
          <w:rFonts w:hint="default" w:ascii="Times New Roman" w:hAnsi="Times New Roman" w:eastAsia="仿宋_GB2312" w:cs="Times New Roman"/>
          <w:sz w:val="24"/>
          <w:szCs w:val="20"/>
          <w:lang w:val="en-US" w:eastAsia="zh-CN"/>
        </w:rPr>
        <w:t>资质</w:t>
      </w:r>
      <w:r>
        <w:rPr>
          <w:rFonts w:hint="eastAsia" w:ascii="Times New Roman" w:eastAsia="仿宋_GB2312" w:cs="Times New Roman"/>
          <w:sz w:val="24"/>
          <w:szCs w:val="20"/>
          <w:lang w:val="en-US" w:eastAsia="zh-CN"/>
        </w:rPr>
        <w:t>证书</w:t>
      </w:r>
      <w:r>
        <w:rPr>
          <w:rFonts w:hint="default" w:ascii="Times New Roman" w:hAnsi="Times New Roman" w:eastAsia="仿宋_GB2312" w:cs="Times New Roman"/>
          <w:sz w:val="24"/>
          <w:szCs w:val="20"/>
          <w:lang w:val="en-US" w:eastAsia="zh-CN"/>
        </w:rPr>
        <w:t>（提供证书复印件）；</w:t>
      </w:r>
    </w:p>
    <w:p w14:paraId="0EF86AD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8.2提供有效的《安全生产许可证》（提供证书复印件）。</w:t>
      </w:r>
    </w:p>
    <w:p w14:paraId="69E8635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eastAsia="仿宋_GB2312" w:cs="Times New Roman"/>
          <w:sz w:val="24"/>
          <w:szCs w:val="20"/>
          <w:lang w:val="en-US" w:eastAsia="zh-CN"/>
        </w:rPr>
      </w:pPr>
      <w:r>
        <w:rPr>
          <w:rFonts w:hint="eastAsia" w:ascii="Times New Roman" w:eastAsia="黑体" w:cs="Times New Roman"/>
          <w:b w:val="0"/>
          <w:bCs w:val="0"/>
          <w:sz w:val="24"/>
          <w:szCs w:val="20"/>
          <w:lang w:val="en-US" w:eastAsia="zh-CN"/>
        </w:rPr>
        <w:t>二</w:t>
      </w:r>
      <w:r>
        <w:rPr>
          <w:rFonts w:hint="default" w:ascii="Times New Roman" w:hAnsi="Times New Roman" w:eastAsia="黑体" w:cs="Times New Roman"/>
          <w:b w:val="0"/>
          <w:bCs w:val="0"/>
          <w:sz w:val="24"/>
          <w:szCs w:val="20"/>
          <w:lang w:val="en-US" w:eastAsia="zh-CN"/>
        </w:rPr>
        <w:t>、</w:t>
      </w:r>
      <w:r>
        <w:rPr>
          <w:rFonts w:hint="eastAsia" w:ascii="Times New Roman" w:eastAsia="黑体" w:cs="Times New Roman"/>
          <w:b w:val="0"/>
          <w:bCs w:val="0"/>
          <w:sz w:val="24"/>
          <w:szCs w:val="20"/>
          <w:lang w:val="en-US" w:eastAsia="zh-CN"/>
        </w:rPr>
        <w:t>其他类似效力要求相关证明材料</w:t>
      </w:r>
    </w:p>
    <w:p w14:paraId="3C08559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1..</w:t>
      </w:r>
      <w:r>
        <w:rPr>
          <w:rFonts w:hint="default" w:ascii="Times New Roman" w:hAnsi="Times New Roman" w:eastAsia="仿宋_GB2312" w:cs="Times New Roman"/>
          <w:sz w:val="24"/>
          <w:szCs w:val="20"/>
          <w:lang w:val="en-US" w:eastAsia="zh-CN"/>
        </w:rPr>
        <w:t>法定代表人/单位负责人授权书原件（①附法定代表人/单位负责人身份证明材料复印件；②法定代表人/单位负责人参与比选时不需要提供）；</w:t>
      </w:r>
    </w:p>
    <w:p w14:paraId="0B88D7D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393" w:name="_Toc21242"/>
      <w:bookmarkStart w:id="394" w:name="_Toc20179"/>
      <w:bookmarkStart w:id="395" w:name="_Toc11092"/>
      <w:r>
        <w:rPr>
          <w:rFonts w:hint="eastAsia" w:ascii="Times New Roman" w:eastAsia="仿宋_GB2312" w:cs="Times New Roman"/>
          <w:sz w:val="24"/>
          <w:szCs w:val="20"/>
          <w:lang w:val="en-US" w:eastAsia="zh-CN"/>
        </w:rPr>
        <w:t>2.</w:t>
      </w:r>
      <w:r>
        <w:rPr>
          <w:rFonts w:hint="default" w:ascii="Times New Roman" w:hAnsi="Times New Roman" w:eastAsia="仿宋_GB2312" w:cs="Times New Roman"/>
          <w:sz w:val="24"/>
          <w:szCs w:val="20"/>
          <w:lang w:val="en-US" w:eastAsia="zh-CN"/>
        </w:rPr>
        <w:t>被授权代表的身份证明材料复印件；</w:t>
      </w:r>
      <w:bookmarkEnd w:id="393"/>
      <w:bookmarkEnd w:id="394"/>
      <w:bookmarkEnd w:id="395"/>
    </w:p>
    <w:p w14:paraId="04834BD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b/>
          <w:bCs/>
          <w:sz w:val="24"/>
          <w:szCs w:val="20"/>
          <w:lang w:val="en-US" w:eastAsia="zh-CN"/>
        </w:rPr>
      </w:pPr>
      <w:r>
        <w:rPr>
          <w:rFonts w:hint="default" w:ascii="Times New Roman" w:hAnsi="Times New Roman" w:eastAsia="仿宋_GB2312" w:cs="Times New Roman"/>
          <w:b/>
          <w:bCs/>
          <w:sz w:val="24"/>
          <w:szCs w:val="20"/>
          <w:lang w:val="en-US" w:eastAsia="zh-CN"/>
        </w:rPr>
        <w:t>说明：</w:t>
      </w:r>
    </w:p>
    <w:p w14:paraId="32601E4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1.</w:t>
      </w:r>
      <w:r>
        <w:rPr>
          <w:rFonts w:hint="default" w:ascii="Times New Roman" w:hAnsi="Times New Roman" w:eastAsia="仿宋_GB2312" w:cs="Times New Roman"/>
          <w:sz w:val="24"/>
          <w:szCs w:val="20"/>
          <w:lang w:val="en-US" w:eastAsia="zh-CN"/>
        </w:rPr>
        <w:t>申请人提供的以上资格证明材料为复印件的（除身份证明材料复印件）均应加盖供应商公章(鲜章)。</w:t>
      </w:r>
    </w:p>
    <w:p w14:paraId="32FDCA3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2.</w:t>
      </w:r>
      <w:r>
        <w:rPr>
          <w:rFonts w:hint="default" w:ascii="Times New Roman" w:hAnsi="Times New Roman" w:eastAsia="仿宋_GB2312" w:cs="Times New Roman"/>
          <w:sz w:val="24"/>
          <w:szCs w:val="20"/>
          <w:lang w:val="en-US" w:eastAsia="zh-CN"/>
        </w:rPr>
        <w:t>申请人应对其所提供的资格证明材料来源的合法性、真实性负责。</w:t>
      </w:r>
    </w:p>
    <w:p w14:paraId="14A5DBB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bookmarkStart w:id="396" w:name="_Toc8881"/>
      <w:bookmarkStart w:id="397" w:name="_Toc18129"/>
      <w:bookmarkStart w:id="398" w:name="_Toc5710"/>
      <w:bookmarkStart w:id="399" w:name="_Toc9790"/>
      <w:bookmarkStart w:id="400" w:name="_Toc31319"/>
      <w:bookmarkStart w:id="401" w:name="_Toc526857986"/>
      <w:bookmarkStart w:id="402" w:name="_Toc98843286"/>
      <w:bookmarkStart w:id="403" w:name="_Toc13230"/>
      <w:r>
        <w:rPr>
          <w:rFonts w:hint="default" w:ascii="Times New Roman" w:hAnsi="Times New Roman" w:eastAsia="仿宋_GB2312" w:cs="Times New Roman"/>
          <w:sz w:val="24"/>
          <w:szCs w:val="20"/>
          <w:lang w:val="en-US" w:eastAsia="zh-CN"/>
        </w:rPr>
        <w:br w:type="page"/>
      </w:r>
    </w:p>
    <w:p w14:paraId="2EBB1841">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方正公文小标宋" w:cs="Times New Roman"/>
        </w:rPr>
      </w:pPr>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四</w:t>
      </w:r>
      <w:r>
        <w:rPr>
          <w:rFonts w:hint="default" w:ascii="Times New Roman" w:hAnsi="Times New Roman" w:eastAsia="方正公文小标宋" w:cs="Times New Roman"/>
        </w:rPr>
        <w:t xml:space="preserve">章  </w:t>
      </w:r>
      <w:r>
        <w:rPr>
          <w:rFonts w:hint="default" w:ascii="Times New Roman" w:hAnsi="Times New Roman" w:eastAsia="方正公文小标宋" w:cs="Times New Roman"/>
          <w:lang w:val="en-US" w:eastAsia="zh-CN"/>
        </w:rPr>
        <w:t>比选</w:t>
      </w:r>
      <w:r>
        <w:rPr>
          <w:rFonts w:hint="default" w:ascii="Times New Roman" w:hAnsi="Times New Roman" w:eastAsia="方正公文小标宋" w:cs="Times New Roman"/>
        </w:rPr>
        <w:t>项目技术、服务、</w:t>
      </w:r>
      <w:r>
        <w:rPr>
          <w:rFonts w:hint="default" w:ascii="Times New Roman" w:hAnsi="Times New Roman" w:eastAsia="方正公文小标宋" w:cs="Times New Roman"/>
          <w:lang w:val="en-US" w:eastAsia="zh-CN"/>
        </w:rPr>
        <w:t>比选</w:t>
      </w:r>
      <w:r>
        <w:rPr>
          <w:rFonts w:hint="default" w:ascii="Times New Roman" w:hAnsi="Times New Roman" w:eastAsia="方正公文小标宋" w:cs="Times New Roman"/>
        </w:rPr>
        <w:t>合同内容条款及其他</w:t>
      </w:r>
      <w:bookmarkEnd w:id="396"/>
      <w:bookmarkEnd w:id="397"/>
      <w:bookmarkEnd w:id="398"/>
      <w:bookmarkEnd w:id="399"/>
      <w:bookmarkEnd w:id="400"/>
    </w:p>
    <w:p w14:paraId="1695F870">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方正公文小标宋" w:cs="Times New Roman"/>
        </w:rPr>
      </w:pPr>
      <w:bookmarkStart w:id="404" w:name="_Toc15788"/>
      <w:bookmarkStart w:id="405" w:name="_Toc11798"/>
      <w:bookmarkStart w:id="406" w:name="_Toc21876"/>
      <w:bookmarkStart w:id="407" w:name="_Toc30201"/>
      <w:bookmarkStart w:id="408" w:name="_Toc2974"/>
      <w:r>
        <w:rPr>
          <w:rFonts w:hint="default" w:ascii="Times New Roman" w:hAnsi="Times New Roman" w:eastAsia="方正公文小标宋" w:cs="Times New Roman"/>
        </w:rPr>
        <w:t>商务要求</w:t>
      </w:r>
      <w:bookmarkEnd w:id="401"/>
      <w:bookmarkEnd w:id="402"/>
      <w:bookmarkEnd w:id="403"/>
      <w:bookmarkEnd w:id="404"/>
      <w:bookmarkEnd w:id="405"/>
      <w:bookmarkEnd w:id="406"/>
      <w:bookmarkEnd w:id="407"/>
      <w:bookmarkEnd w:id="408"/>
    </w:p>
    <w:p w14:paraId="07E06A8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rPr>
          <w:rFonts w:hint="default" w:ascii="Times New Roman" w:hAnsi="Times New Roman" w:eastAsia="仿宋_GB2312" w:cs="Times New Roman"/>
          <w:b/>
          <w:bCs/>
          <w:sz w:val="24"/>
          <w:szCs w:val="20"/>
          <w:lang w:val="en-US" w:eastAsia="zh-CN"/>
        </w:rPr>
      </w:pPr>
      <w:bookmarkStart w:id="409" w:name="PO_默认文件内容_27"/>
      <w:r>
        <w:rPr>
          <w:rFonts w:hint="default" w:ascii="Times New Roman" w:hAnsi="Times New Roman" w:eastAsia="仿宋_GB2312" w:cs="Times New Roman"/>
          <w:b/>
          <w:bCs/>
          <w:sz w:val="24"/>
          <w:szCs w:val="20"/>
          <w:lang w:val="en-US" w:eastAsia="zh-CN"/>
        </w:rPr>
        <w:t>前提：本章采购需求的条款</w:t>
      </w:r>
      <w:r>
        <w:rPr>
          <w:rFonts w:hint="eastAsia" w:ascii="Times New Roman" w:eastAsia="仿宋_GB2312" w:cs="Times New Roman"/>
          <w:b/>
          <w:bCs/>
          <w:sz w:val="24"/>
          <w:szCs w:val="20"/>
          <w:lang w:val="en-US" w:eastAsia="zh-CN"/>
        </w:rPr>
        <w:t>均</w:t>
      </w:r>
      <w:r>
        <w:rPr>
          <w:rFonts w:hint="default" w:ascii="Times New Roman" w:hAnsi="Times New Roman" w:eastAsia="仿宋_GB2312" w:cs="Times New Roman"/>
          <w:b/>
          <w:bCs/>
          <w:sz w:val="24"/>
          <w:szCs w:val="20"/>
          <w:lang w:val="en-US" w:eastAsia="zh-CN"/>
        </w:rPr>
        <w:t>为本次比选项目的实质性要求，申请人应全部满足。</w:t>
      </w:r>
    </w:p>
    <w:bookmarkEnd w:id="409"/>
    <w:p w14:paraId="40D9DE45">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410" w:name="_Toc19266"/>
      <w:bookmarkStart w:id="411" w:name="_Toc2074"/>
      <w:bookmarkStart w:id="412" w:name="_Toc2091"/>
      <w:bookmarkStart w:id="413" w:name="_Toc8726"/>
      <w:bookmarkStart w:id="414" w:name="_Toc4137"/>
      <w:r>
        <w:rPr>
          <w:rFonts w:hint="default" w:ascii="Times New Roman" w:hAnsi="Times New Roman" w:eastAsia="黑体" w:cs="Times New Roman"/>
          <w:b w:val="0"/>
          <w:bCs w:val="0"/>
          <w:sz w:val="24"/>
          <w:szCs w:val="20"/>
          <w:lang w:val="en-US" w:eastAsia="zh-CN"/>
        </w:rPr>
        <w:t>一、项目概述</w:t>
      </w:r>
      <w:bookmarkEnd w:id="410"/>
      <w:bookmarkEnd w:id="411"/>
      <w:bookmarkEnd w:id="412"/>
      <w:bookmarkEnd w:id="413"/>
      <w:bookmarkEnd w:id="414"/>
    </w:p>
    <w:p w14:paraId="5085A6E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1.项目地址：四川省成都市天府新区蜡梓东街36号成都农业科技中心</w:t>
      </w:r>
    </w:p>
    <w:p w14:paraId="7B8173D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415" w:name="_Toc20846"/>
      <w:bookmarkStart w:id="416" w:name="_Toc6169"/>
      <w:bookmarkStart w:id="417" w:name="_Toc29571"/>
      <w:r>
        <w:rPr>
          <w:rFonts w:hint="default" w:ascii="Times New Roman" w:hAnsi="Times New Roman" w:eastAsia="仿宋_GB2312" w:cs="Times New Roman"/>
          <w:sz w:val="24"/>
          <w:szCs w:val="20"/>
          <w:lang w:val="en-US" w:eastAsia="zh-CN"/>
        </w:rPr>
        <w:t>2.项目概况：成都农业科技中心</w:t>
      </w:r>
      <w:r>
        <w:rPr>
          <w:rFonts w:hint="eastAsia" w:ascii="Times New Roman" w:eastAsia="仿宋_GB2312" w:cs="Times New Roman"/>
          <w:sz w:val="24"/>
          <w:szCs w:val="20"/>
          <w:lang w:val="en-US" w:eastAsia="zh-CN"/>
        </w:rPr>
        <w:t>成果展示</w:t>
      </w:r>
      <w:r>
        <w:rPr>
          <w:rFonts w:hint="default" w:ascii="Times New Roman" w:hAnsi="Times New Roman" w:eastAsia="仿宋_GB2312" w:cs="Times New Roman"/>
          <w:sz w:val="24"/>
          <w:szCs w:val="20"/>
          <w:lang w:val="en-US" w:eastAsia="zh-CN"/>
        </w:rPr>
        <w:t>馆改造项目</w:t>
      </w:r>
      <w:bookmarkEnd w:id="415"/>
      <w:bookmarkEnd w:id="416"/>
      <w:bookmarkEnd w:id="417"/>
    </w:p>
    <w:p w14:paraId="6316B8F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3.安全文明施工要求：满足成都市、天府新区直管区建设工程施工安全监督站等相关部门规定及采购人要求</w:t>
      </w:r>
    </w:p>
    <w:p w14:paraId="1E77B2E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4.质量标准：达到国家现行合格标准；等同于或高于现有展馆材料质量。</w:t>
      </w:r>
    </w:p>
    <w:p w14:paraId="45F534F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5.报价人要求仔细核对报价文件、报价技术要求、设计方案图。对于所有比选文件要求的内容均需要在报价范围内。</w:t>
      </w:r>
    </w:p>
    <w:p w14:paraId="007D8B6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418" w:name="_Toc32580"/>
      <w:bookmarkStart w:id="419" w:name="_Toc2273"/>
      <w:bookmarkStart w:id="420" w:name="_Toc30936"/>
      <w:r>
        <w:rPr>
          <w:rFonts w:hint="default" w:ascii="Times New Roman" w:hAnsi="Times New Roman" w:eastAsia="仿宋_GB2312" w:cs="Times New Roman"/>
          <w:sz w:val="24"/>
          <w:szCs w:val="20"/>
          <w:lang w:val="en-US" w:eastAsia="zh-CN"/>
        </w:rPr>
        <w:t>施工图详见附件</w:t>
      </w:r>
      <w:bookmarkEnd w:id="418"/>
      <w:bookmarkEnd w:id="419"/>
      <w:bookmarkEnd w:id="420"/>
    </w:p>
    <w:p w14:paraId="5FA92D83">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421" w:name="_Toc12633"/>
      <w:bookmarkStart w:id="422" w:name="_Toc27149"/>
      <w:r>
        <w:rPr>
          <w:rFonts w:hint="default" w:ascii="Times New Roman" w:hAnsi="Times New Roman" w:eastAsia="黑体" w:cs="Times New Roman"/>
          <w:b w:val="0"/>
          <w:bCs w:val="0"/>
          <w:sz w:val="24"/>
          <w:szCs w:val="20"/>
          <w:lang w:val="en-US" w:eastAsia="zh-CN"/>
        </w:rPr>
        <w:t>二、技术、服务、商务、合同条款要求</w:t>
      </w:r>
      <w:bookmarkEnd w:id="421"/>
      <w:bookmarkEnd w:id="422"/>
    </w:p>
    <w:tbl>
      <w:tblPr>
        <w:tblStyle w:val="34"/>
        <w:tblW w:w="5000" w:type="pct"/>
        <w:tblInd w:w="0" w:type="dxa"/>
        <w:tblLayout w:type="autofit"/>
        <w:tblCellMar>
          <w:top w:w="0" w:type="dxa"/>
          <w:left w:w="108" w:type="dxa"/>
          <w:bottom w:w="0" w:type="dxa"/>
          <w:right w:w="108" w:type="dxa"/>
        </w:tblCellMar>
      </w:tblPr>
      <w:tblGrid>
        <w:gridCol w:w="1136"/>
        <w:gridCol w:w="1589"/>
        <w:gridCol w:w="6450"/>
      </w:tblGrid>
      <w:tr w14:paraId="5FA9336D">
        <w:tblPrEx>
          <w:tblCellMar>
            <w:top w:w="0" w:type="dxa"/>
            <w:left w:w="108" w:type="dxa"/>
            <w:bottom w:w="0" w:type="dxa"/>
            <w:right w:w="108" w:type="dxa"/>
          </w:tblCellMar>
        </w:tblPrEx>
        <w:trPr>
          <w:trHeight w:val="664" w:hRule="atLeast"/>
        </w:trPr>
        <w:tc>
          <w:tcPr>
            <w:tcW w:w="619" w:type="pct"/>
            <w:tcBorders>
              <w:top w:val="single" w:color="auto" w:sz="4" w:space="0"/>
              <w:left w:val="single" w:color="auto" w:sz="4" w:space="0"/>
              <w:bottom w:val="single" w:color="auto" w:sz="4" w:space="0"/>
              <w:right w:val="single" w:color="auto" w:sz="4" w:space="0"/>
            </w:tcBorders>
            <w:vAlign w:val="center"/>
          </w:tcPr>
          <w:p w14:paraId="167071F7">
            <w:pPr>
              <w:adjustRightInd w:val="0"/>
              <w:snapToGrid w:val="0"/>
              <w:spacing w:before="80" w:after="80" w:line="240" w:lineRule="auto"/>
              <w:jc w:val="center"/>
              <w:rPr>
                <w:rFonts w:hint="default" w:ascii="Times New Roman" w:hAnsi="Times New Roman" w:eastAsia="黑体" w:cs="Times New Roman"/>
                <w:b w:val="0"/>
                <w:bCs w:val="0"/>
                <w:color w:val="000000" w:themeColor="text1"/>
                <w:sz w:val="21"/>
                <w:szCs w:val="21"/>
                <w14:textFill>
                  <w14:solidFill>
                    <w14:schemeClr w14:val="tx1"/>
                  </w14:solidFill>
                </w14:textFill>
              </w:rPr>
            </w:pPr>
            <w:bookmarkStart w:id="423" w:name="_Hlk98843068"/>
            <w:r>
              <w:rPr>
                <w:rFonts w:hint="default" w:ascii="Times New Roman" w:hAnsi="Times New Roman" w:eastAsia="黑体" w:cs="Times New Roman"/>
                <w:b w:val="0"/>
                <w:bCs w:val="0"/>
                <w:color w:val="000000" w:themeColor="text1"/>
                <w:sz w:val="21"/>
                <w:szCs w:val="21"/>
                <w14:textFill>
                  <w14:solidFill>
                    <w14:schemeClr w14:val="tx1"/>
                  </w14:solidFill>
                </w14:textFill>
              </w:rPr>
              <w:t>序号</w:t>
            </w:r>
          </w:p>
        </w:tc>
        <w:tc>
          <w:tcPr>
            <w:tcW w:w="866" w:type="pct"/>
            <w:tcBorders>
              <w:top w:val="single" w:color="auto" w:sz="4" w:space="0"/>
              <w:left w:val="nil"/>
              <w:bottom w:val="single" w:color="auto" w:sz="4" w:space="0"/>
              <w:right w:val="single" w:color="auto" w:sz="4" w:space="0"/>
            </w:tcBorders>
            <w:vAlign w:val="center"/>
          </w:tcPr>
          <w:p w14:paraId="4F24E091">
            <w:pPr>
              <w:adjustRightInd w:val="0"/>
              <w:snapToGrid w:val="0"/>
              <w:spacing w:before="80" w:after="80" w:line="240" w:lineRule="auto"/>
              <w:jc w:val="center"/>
              <w:rPr>
                <w:rFonts w:hint="default" w:ascii="Times New Roman" w:hAnsi="Times New Roman" w:eastAsia="黑体" w:cs="Times New Roman"/>
                <w:b w:val="0"/>
                <w:bCs w:val="0"/>
                <w:color w:val="000000" w:themeColor="text1"/>
                <w:sz w:val="21"/>
                <w:szCs w:val="21"/>
                <w14:textFill>
                  <w14:solidFill>
                    <w14:schemeClr w14:val="tx1"/>
                  </w14:solidFill>
                </w14:textFill>
              </w:rPr>
            </w:pPr>
            <w:r>
              <w:rPr>
                <w:rFonts w:hint="default" w:ascii="Times New Roman" w:hAnsi="Times New Roman" w:eastAsia="黑体" w:cs="Times New Roman"/>
                <w:b w:val="0"/>
                <w:bCs w:val="0"/>
                <w:color w:val="000000" w:themeColor="text1"/>
                <w:sz w:val="21"/>
                <w:szCs w:val="21"/>
                <w14:textFill>
                  <w14:solidFill>
                    <w14:schemeClr w14:val="tx1"/>
                  </w14:solidFill>
                </w14:textFill>
              </w:rPr>
              <w:t>项目</w:t>
            </w:r>
          </w:p>
        </w:tc>
        <w:tc>
          <w:tcPr>
            <w:tcW w:w="3514" w:type="pct"/>
            <w:tcBorders>
              <w:top w:val="single" w:color="auto" w:sz="4" w:space="0"/>
              <w:left w:val="nil"/>
              <w:bottom w:val="single" w:color="auto" w:sz="4" w:space="0"/>
              <w:right w:val="single" w:color="auto" w:sz="4" w:space="0"/>
            </w:tcBorders>
            <w:vAlign w:val="center"/>
          </w:tcPr>
          <w:p w14:paraId="25F4CEF2">
            <w:pPr>
              <w:adjustRightInd w:val="0"/>
              <w:snapToGrid w:val="0"/>
              <w:spacing w:before="80" w:after="80" w:line="240" w:lineRule="auto"/>
              <w:jc w:val="center"/>
              <w:rPr>
                <w:rFonts w:hint="default" w:ascii="Times New Roman" w:hAnsi="Times New Roman" w:eastAsia="黑体" w:cs="Times New Roman"/>
                <w:b w:val="0"/>
                <w:bCs w:val="0"/>
                <w:color w:val="000000" w:themeColor="text1"/>
                <w:sz w:val="21"/>
                <w:szCs w:val="21"/>
                <w14:textFill>
                  <w14:solidFill>
                    <w14:schemeClr w14:val="tx1"/>
                  </w14:solidFill>
                </w14:textFill>
              </w:rPr>
            </w:pPr>
            <w:r>
              <w:rPr>
                <w:rFonts w:hint="default" w:ascii="Times New Roman" w:hAnsi="Times New Roman" w:eastAsia="黑体" w:cs="Times New Roman"/>
                <w:b w:val="0"/>
                <w:bCs w:val="0"/>
                <w:color w:val="000000" w:themeColor="text1"/>
                <w:sz w:val="21"/>
                <w:szCs w:val="21"/>
                <w14:textFill>
                  <w14:solidFill>
                    <w14:schemeClr w14:val="tx1"/>
                  </w14:solidFill>
                </w14:textFill>
              </w:rPr>
              <w:t>要求</w:t>
            </w:r>
          </w:p>
        </w:tc>
      </w:tr>
      <w:tr w14:paraId="4CF40756">
        <w:tblPrEx>
          <w:tblCellMar>
            <w:top w:w="0" w:type="dxa"/>
            <w:left w:w="108" w:type="dxa"/>
            <w:bottom w:w="0" w:type="dxa"/>
            <w:right w:w="108" w:type="dxa"/>
          </w:tblCellMar>
        </w:tblPrEx>
        <w:trPr>
          <w:trHeight w:val="664" w:hRule="atLeast"/>
        </w:trPr>
        <w:tc>
          <w:tcPr>
            <w:tcW w:w="619" w:type="pct"/>
            <w:tcBorders>
              <w:top w:val="single" w:color="auto" w:sz="4" w:space="0"/>
              <w:left w:val="single" w:color="auto" w:sz="4" w:space="0"/>
              <w:bottom w:val="single" w:color="auto" w:sz="4" w:space="0"/>
              <w:right w:val="single" w:color="auto" w:sz="4" w:space="0"/>
            </w:tcBorders>
            <w:vAlign w:val="center"/>
          </w:tcPr>
          <w:p w14:paraId="36417B52">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w:t>
            </w:r>
          </w:p>
        </w:tc>
        <w:tc>
          <w:tcPr>
            <w:tcW w:w="866" w:type="pct"/>
            <w:tcBorders>
              <w:top w:val="single" w:color="auto" w:sz="4" w:space="0"/>
              <w:left w:val="nil"/>
              <w:bottom w:val="single" w:color="auto" w:sz="4" w:space="0"/>
              <w:right w:val="single" w:color="auto" w:sz="4" w:space="0"/>
            </w:tcBorders>
            <w:vAlign w:val="center"/>
          </w:tcPr>
          <w:p w14:paraId="3F38F080">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项目负责人（项目经理）</w:t>
            </w:r>
          </w:p>
        </w:tc>
        <w:tc>
          <w:tcPr>
            <w:tcW w:w="3514" w:type="pct"/>
            <w:tcBorders>
              <w:top w:val="single" w:color="auto" w:sz="4" w:space="0"/>
              <w:left w:val="nil"/>
              <w:bottom w:val="single" w:color="auto" w:sz="4" w:space="0"/>
              <w:right w:val="single" w:color="auto" w:sz="4" w:space="0"/>
            </w:tcBorders>
            <w:vAlign w:val="center"/>
          </w:tcPr>
          <w:p w14:paraId="394FBE6F">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1.参加本项目比选时，拟投入本项目的项目负责人（项目经理）没有在其他未完工项目担任项目经理，自采购合同签订至本项目完工前也不得在其他项目担任项目经理。</w:t>
            </w:r>
          </w:p>
          <w:p w14:paraId="262A993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2.申请人承诺成交后拟投入本项目的项目负责人（项目经理）为本单位人员。</w:t>
            </w:r>
          </w:p>
        </w:tc>
      </w:tr>
      <w:tr w14:paraId="4C48058F">
        <w:tblPrEx>
          <w:tblCellMar>
            <w:top w:w="0" w:type="dxa"/>
            <w:left w:w="108" w:type="dxa"/>
            <w:bottom w:w="0" w:type="dxa"/>
            <w:right w:w="108" w:type="dxa"/>
          </w:tblCellMar>
        </w:tblPrEx>
        <w:trPr>
          <w:trHeight w:val="786" w:hRule="atLeast"/>
        </w:trPr>
        <w:tc>
          <w:tcPr>
            <w:tcW w:w="619" w:type="pct"/>
            <w:tcBorders>
              <w:top w:val="single" w:color="auto" w:sz="4" w:space="0"/>
              <w:left w:val="single" w:color="auto" w:sz="4" w:space="0"/>
              <w:bottom w:val="single" w:color="auto" w:sz="4" w:space="0"/>
              <w:right w:val="single" w:color="auto" w:sz="4" w:space="0"/>
            </w:tcBorders>
            <w:vAlign w:val="center"/>
          </w:tcPr>
          <w:p w14:paraId="7E0C6BA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w:t>
            </w:r>
          </w:p>
        </w:tc>
        <w:tc>
          <w:tcPr>
            <w:tcW w:w="866" w:type="pct"/>
            <w:tcBorders>
              <w:top w:val="single" w:color="auto" w:sz="4" w:space="0"/>
              <w:left w:val="nil"/>
              <w:bottom w:val="single" w:color="auto" w:sz="4" w:space="0"/>
              <w:right w:val="single" w:color="auto" w:sz="4" w:space="0"/>
            </w:tcBorders>
            <w:vAlign w:val="center"/>
          </w:tcPr>
          <w:p w14:paraId="30C8FEF1">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工期</w:t>
            </w:r>
          </w:p>
        </w:tc>
        <w:tc>
          <w:tcPr>
            <w:tcW w:w="3514" w:type="pct"/>
            <w:tcBorders>
              <w:top w:val="single" w:color="auto" w:sz="4" w:space="0"/>
              <w:left w:val="nil"/>
              <w:bottom w:val="single" w:color="auto" w:sz="4" w:space="0"/>
              <w:right w:val="single" w:color="auto" w:sz="4" w:space="0"/>
            </w:tcBorders>
            <w:vAlign w:val="center"/>
          </w:tcPr>
          <w:p w14:paraId="7E3E08A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2025年4月30日以前。</w:t>
            </w:r>
          </w:p>
        </w:tc>
      </w:tr>
      <w:tr w14:paraId="10AA3C64">
        <w:tblPrEx>
          <w:tblCellMar>
            <w:top w:w="0" w:type="dxa"/>
            <w:left w:w="108" w:type="dxa"/>
            <w:bottom w:w="0" w:type="dxa"/>
            <w:right w:w="108" w:type="dxa"/>
          </w:tblCellMar>
        </w:tblPrEx>
        <w:trPr>
          <w:trHeight w:val="677" w:hRule="atLeast"/>
        </w:trPr>
        <w:tc>
          <w:tcPr>
            <w:tcW w:w="619" w:type="pct"/>
            <w:tcBorders>
              <w:top w:val="single" w:color="auto" w:sz="4" w:space="0"/>
              <w:left w:val="single" w:color="auto" w:sz="4" w:space="0"/>
              <w:bottom w:val="single" w:color="auto" w:sz="4" w:space="0"/>
              <w:right w:val="single" w:color="auto" w:sz="4" w:space="0"/>
            </w:tcBorders>
            <w:vAlign w:val="center"/>
          </w:tcPr>
          <w:p w14:paraId="14032BFB">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w:t>
            </w:r>
          </w:p>
        </w:tc>
        <w:tc>
          <w:tcPr>
            <w:tcW w:w="866" w:type="pct"/>
            <w:tcBorders>
              <w:top w:val="single" w:color="auto" w:sz="4" w:space="0"/>
              <w:left w:val="nil"/>
              <w:bottom w:val="single" w:color="auto" w:sz="4" w:space="0"/>
              <w:right w:val="single" w:color="auto" w:sz="4" w:space="0"/>
            </w:tcBorders>
            <w:vAlign w:val="center"/>
          </w:tcPr>
          <w:p w14:paraId="1BB197AF">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缺陷责任期</w:t>
            </w:r>
          </w:p>
        </w:tc>
        <w:tc>
          <w:tcPr>
            <w:tcW w:w="3514" w:type="pct"/>
            <w:tcBorders>
              <w:top w:val="single" w:color="auto" w:sz="4" w:space="0"/>
              <w:left w:val="nil"/>
              <w:bottom w:val="single" w:color="auto" w:sz="4" w:space="0"/>
              <w:right w:val="single" w:color="auto" w:sz="4" w:space="0"/>
            </w:tcBorders>
            <w:vAlign w:val="center"/>
          </w:tcPr>
          <w:p w14:paraId="6CB4620D">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12个月。</w:t>
            </w:r>
          </w:p>
        </w:tc>
      </w:tr>
      <w:tr w14:paraId="2463A2F1">
        <w:tblPrEx>
          <w:tblCellMar>
            <w:top w:w="0" w:type="dxa"/>
            <w:left w:w="108" w:type="dxa"/>
            <w:bottom w:w="0" w:type="dxa"/>
            <w:right w:w="108" w:type="dxa"/>
          </w:tblCellMar>
        </w:tblPrEx>
        <w:trPr>
          <w:trHeight w:val="808" w:hRule="atLeast"/>
        </w:trPr>
        <w:tc>
          <w:tcPr>
            <w:tcW w:w="619" w:type="pct"/>
            <w:tcBorders>
              <w:top w:val="single" w:color="auto" w:sz="4" w:space="0"/>
              <w:left w:val="single" w:color="auto" w:sz="4" w:space="0"/>
              <w:bottom w:val="single" w:color="auto" w:sz="4" w:space="0"/>
              <w:right w:val="single" w:color="auto" w:sz="4" w:space="0"/>
            </w:tcBorders>
            <w:vAlign w:val="center"/>
          </w:tcPr>
          <w:p w14:paraId="15BAC5C7">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w:t>
            </w:r>
          </w:p>
        </w:tc>
        <w:tc>
          <w:tcPr>
            <w:tcW w:w="866" w:type="pct"/>
            <w:tcBorders>
              <w:top w:val="single" w:color="auto" w:sz="4" w:space="0"/>
              <w:left w:val="nil"/>
              <w:bottom w:val="single" w:color="auto" w:sz="4" w:space="0"/>
              <w:right w:val="single" w:color="auto" w:sz="4" w:space="0"/>
            </w:tcBorders>
            <w:vAlign w:val="center"/>
          </w:tcPr>
          <w:p w14:paraId="01787CC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分包</w:t>
            </w:r>
          </w:p>
        </w:tc>
        <w:tc>
          <w:tcPr>
            <w:tcW w:w="3514" w:type="pct"/>
            <w:tcBorders>
              <w:top w:val="single" w:color="auto" w:sz="4" w:space="0"/>
              <w:left w:val="nil"/>
              <w:bottom w:val="single" w:color="auto" w:sz="4" w:space="0"/>
              <w:right w:val="single" w:color="auto" w:sz="4" w:space="0"/>
            </w:tcBorders>
            <w:vAlign w:val="center"/>
          </w:tcPr>
          <w:p w14:paraId="22F050A5">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不允许。</w:t>
            </w:r>
          </w:p>
        </w:tc>
      </w:tr>
      <w:tr w14:paraId="57380A22">
        <w:tblPrEx>
          <w:tblCellMar>
            <w:top w:w="0" w:type="dxa"/>
            <w:left w:w="108" w:type="dxa"/>
            <w:bottom w:w="0" w:type="dxa"/>
            <w:right w:w="108" w:type="dxa"/>
          </w:tblCellMar>
        </w:tblPrEx>
        <w:trPr>
          <w:trHeight w:val="808" w:hRule="atLeast"/>
        </w:trPr>
        <w:tc>
          <w:tcPr>
            <w:tcW w:w="619" w:type="pct"/>
            <w:tcBorders>
              <w:top w:val="single" w:color="auto" w:sz="4" w:space="0"/>
              <w:left w:val="single" w:color="auto" w:sz="4" w:space="0"/>
              <w:bottom w:val="single" w:color="auto" w:sz="4" w:space="0"/>
              <w:right w:val="single" w:color="auto" w:sz="4" w:space="0"/>
            </w:tcBorders>
            <w:vAlign w:val="center"/>
          </w:tcPr>
          <w:p w14:paraId="0A5B599C">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5</w:t>
            </w:r>
          </w:p>
        </w:tc>
        <w:tc>
          <w:tcPr>
            <w:tcW w:w="866" w:type="pct"/>
            <w:tcBorders>
              <w:top w:val="single" w:color="auto" w:sz="4" w:space="0"/>
              <w:left w:val="nil"/>
              <w:bottom w:val="single" w:color="auto" w:sz="4" w:space="0"/>
              <w:right w:val="single" w:color="auto" w:sz="4" w:space="0"/>
            </w:tcBorders>
            <w:vAlign w:val="center"/>
          </w:tcPr>
          <w:p w14:paraId="059AFFD5">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施工质量标准</w:t>
            </w:r>
          </w:p>
        </w:tc>
        <w:tc>
          <w:tcPr>
            <w:tcW w:w="3514" w:type="pct"/>
            <w:tcBorders>
              <w:top w:val="single" w:color="auto" w:sz="4" w:space="0"/>
              <w:left w:val="nil"/>
              <w:bottom w:val="single" w:color="auto" w:sz="4" w:space="0"/>
              <w:right w:val="single" w:color="auto" w:sz="4" w:space="0"/>
            </w:tcBorders>
            <w:vAlign w:val="center"/>
          </w:tcPr>
          <w:p w14:paraId="767AC55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达到国家现行技术规范，符合国家及行业验收合格标准</w:t>
            </w:r>
          </w:p>
        </w:tc>
      </w:tr>
      <w:tr w14:paraId="4C850999">
        <w:tblPrEx>
          <w:tblCellMar>
            <w:top w:w="0" w:type="dxa"/>
            <w:left w:w="108" w:type="dxa"/>
            <w:bottom w:w="0" w:type="dxa"/>
            <w:right w:w="108" w:type="dxa"/>
          </w:tblCellMar>
        </w:tblPrEx>
        <w:trPr>
          <w:trHeight w:val="841" w:hRule="atLeast"/>
        </w:trPr>
        <w:tc>
          <w:tcPr>
            <w:tcW w:w="619" w:type="pct"/>
            <w:tcBorders>
              <w:top w:val="single" w:color="auto" w:sz="4" w:space="0"/>
              <w:left w:val="single" w:color="auto" w:sz="4" w:space="0"/>
              <w:bottom w:val="single" w:color="auto" w:sz="4" w:space="0"/>
              <w:right w:val="single" w:color="auto" w:sz="4" w:space="0"/>
            </w:tcBorders>
            <w:vAlign w:val="center"/>
          </w:tcPr>
          <w:p w14:paraId="22760B2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6</w:t>
            </w:r>
          </w:p>
        </w:tc>
        <w:tc>
          <w:tcPr>
            <w:tcW w:w="866" w:type="pct"/>
            <w:tcBorders>
              <w:top w:val="single" w:color="auto" w:sz="4" w:space="0"/>
              <w:left w:val="nil"/>
              <w:bottom w:val="single" w:color="auto" w:sz="4" w:space="0"/>
              <w:right w:val="single" w:color="auto" w:sz="4" w:space="0"/>
            </w:tcBorders>
            <w:vAlign w:val="center"/>
          </w:tcPr>
          <w:p w14:paraId="76D0909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付款方式</w:t>
            </w:r>
          </w:p>
        </w:tc>
        <w:tc>
          <w:tcPr>
            <w:tcW w:w="3514" w:type="pct"/>
            <w:tcBorders>
              <w:top w:val="single" w:color="auto" w:sz="4" w:space="0"/>
              <w:left w:val="nil"/>
              <w:bottom w:val="single" w:color="auto" w:sz="4" w:space="0"/>
              <w:right w:val="single" w:color="auto" w:sz="4" w:space="0"/>
            </w:tcBorders>
            <w:vAlign w:val="center"/>
          </w:tcPr>
          <w:p w14:paraId="67C7F97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1.合同签订</w:t>
            </w:r>
            <w:r>
              <w:rPr>
                <w:rFonts w:hint="eastAsia" w:ascii="Times New Roman" w:eastAsia="仿宋_GB2312" w:cs="Times New Roman"/>
                <w:b w:val="0"/>
                <w:bCs w:val="0"/>
                <w:sz w:val="21"/>
                <w:szCs w:val="21"/>
                <w:lang w:val="en-US" w:eastAsia="zh-CN"/>
              </w:rPr>
              <w:t>后，</w:t>
            </w:r>
            <w:r>
              <w:rPr>
                <w:rFonts w:hint="default" w:ascii="Times New Roman" w:hAnsi="Times New Roman" w:eastAsia="仿宋_GB2312" w:cs="Times New Roman"/>
                <w:b w:val="0"/>
                <w:bCs w:val="0"/>
                <w:sz w:val="21"/>
                <w:szCs w:val="21"/>
                <w:lang w:val="en-US" w:eastAsia="zh-CN"/>
              </w:rPr>
              <w:t>比选人向中选人支付至成交金额的</w:t>
            </w:r>
            <w:r>
              <w:rPr>
                <w:rFonts w:hint="eastAsia" w:ascii="Times New Roman" w:eastAsia="仿宋_GB2312" w:cs="Times New Roman"/>
                <w:b w:val="0"/>
                <w:bCs w:val="0"/>
                <w:sz w:val="21"/>
                <w:szCs w:val="21"/>
                <w:lang w:val="en-US" w:eastAsia="zh-CN"/>
              </w:rPr>
              <w:t>3</w:t>
            </w:r>
            <w:r>
              <w:rPr>
                <w:rFonts w:hint="default" w:ascii="Times New Roman" w:hAnsi="Times New Roman" w:eastAsia="仿宋_GB2312" w:cs="Times New Roman"/>
                <w:b w:val="0"/>
                <w:bCs w:val="0"/>
                <w:sz w:val="21"/>
                <w:szCs w:val="21"/>
                <w:lang w:val="en-US" w:eastAsia="zh-CN"/>
              </w:rPr>
              <w:t>0%</w:t>
            </w:r>
            <w:r>
              <w:rPr>
                <w:rFonts w:hint="eastAsia" w:ascii="Times New Roman" w:eastAsia="仿宋_GB2312" w:cs="Times New Roman"/>
                <w:b w:val="0"/>
                <w:bCs w:val="0"/>
                <w:sz w:val="21"/>
                <w:szCs w:val="21"/>
                <w:lang w:val="en-US" w:eastAsia="zh-CN"/>
              </w:rPr>
              <w:t>。</w:t>
            </w:r>
          </w:p>
          <w:p w14:paraId="4F0D186C">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w:t>
            </w:r>
            <w:r>
              <w:rPr>
                <w:rFonts w:hint="default" w:ascii="Times New Roman" w:eastAsia="仿宋_GB2312"/>
                <w:sz w:val="21"/>
                <w:szCs w:val="21"/>
              </w:rPr>
              <w:t>项目完成60%后</w:t>
            </w:r>
            <w:r>
              <w:rPr>
                <w:rFonts w:hint="eastAsia" w:asci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lang w:val="en-US" w:eastAsia="zh-CN"/>
              </w:rPr>
              <w:t>比选人向中选人支付至成交金额的</w:t>
            </w:r>
            <w:r>
              <w:rPr>
                <w:rFonts w:hint="eastAsia" w:ascii="Times New Roman" w:eastAsia="仿宋_GB2312" w:cs="Times New Roman"/>
                <w:b w:val="0"/>
                <w:bCs w:val="0"/>
                <w:sz w:val="21"/>
                <w:szCs w:val="21"/>
                <w:lang w:val="en-US" w:eastAsia="zh-CN"/>
              </w:rPr>
              <w:t>6</w:t>
            </w:r>
            <w:r>
              <w:rPr>
                <w:rFonts w:hint="default" w:ascii="Times New Roman" w:hAnsi="Times New Roman" w:eastAsia="仿宋_GB2312" w:cs="Times New Roman"/>
                <w:b w:val="0"/>
                <w:bCs w:val="0"/>
                <w:sz w:val="21"/>
                <w:szCs w:val="21"/>
                <w:lang w:val="en-US" w:eastAsia="zh-CN"/>
              </w:rPr>
              <w:t>0%</w:t>
            </w:r>
            <w:r>
              <w:rPr>
                <w:rFonts w:hint="eastAsia" w:ascii="Times New Roman" w:eastAsia="仿宋_GB2312" w:cs="Times New Roman"/>
                <w:b w:val="0"/>
                <w:bCs w:val="0"/>
                <w:sz w:val="21"/>
                <w:szCs w:val="21"/>
                <w:lang w:val="en-US" w:eastAsia="zh-CN"/>
              </w:rPr>
              <w:t>。</w:t>
            </w:r>
          </w:p>
          <w:p w14:paraId="0E8653B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eastAsia" w:ascii="Times New Roman" w:eastAsia="仿宋_GB2312" w:cs="Times New Roman"/>
                <w:b w:val="0"/>
                <w:bCs w:val="0"/>
                <w:sz w:val="21"/>
                <w:szCs w:val="21"/>
                <w:lang w:val="en-US" w:eastAsia="zh-CN"/>
              </w:rPr>
              <w:t>3.</w:t>
            </w:r>
            <w:r>
              <w:rPr>
                <w:rFonts w:hint="default" w:ascii="Times New Roman" w:eastAsia="仿宋_GB2312"/>
                <w:sz w:val="21"/>
                <w:szCs w:val="21"/>
              </w:rPr>
              <w:t>项目完成</w:t>
            </w:r>
            <w:r>
              <w:rPr>
                <w:rFonts w:hint="eastAsia" w:ascii="Times New Roman" w:eastAsia="仿宋_GB2312"/>
                <w:sz w:val="21"/>
                <w:szCs w:val="21"/>
                <w:lang w:val="en-US" w:eastAsia="zh-CN"/>
              </w:rPr>
              <w:t>9</w:t>
            </w:r>
            <w:r>
              <w:rPr>
                <w:rFonts w:hint="default" w:ascii="Times New Roman" w:eastAsia="仿宋_GB2312"/>
                <w:sz w:val="21"/>
                <w:szCs w:val="21"/>
              </w:rPr>
              <w:t>0%后</w:t>
            </w:r>
            <w:r>
              <w:rPr>
                <w:rFonts w:hint="eastAsia" w:asci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lang w:val="en-US" w:eastAsia="zh-CN"/>
              </w:rPr>
              <w:t>比选人向中选人支付至成交金额的</w:t>
            </w:r>
            <w:r>
              <w:rPr>
                <w:rFonts w:hint="eastAsia" w:ascii="Times New Roman" w:eastAsia="仿宋_GB2312" w:cs="Times New Roman"/>
                <w:b w:val="0"/>
                <w:bCs w:val="0"/>
                <w:sz w:val="21"/>
                <w:szCs w:val="21"/>
                <w:lang w:val="en-US" w:eastAsia="zh-CN"/>
              </w:rPr>
              <w:t>9</w:t>
            </w:r>
            <w:r>
              <w:rPr>
                <w:rFonts w:hint="default" w:ascii="Times New Roman" w:hAnsi="Times New Roman" w:eastAsia="仿宋_GB2312" w:cs="Times New Roman"/>
                <w:b w:val="0"/>
                <w:bCs w:val="0"/>
                <w:sz w:val="21"/>
                <w:szCs w:val="21"/>
                <w:lang w:val="en-US" w:eastAsia="zh-CN"/>
              </w:rPr>
              <w:t>0%。</w:t>
            </w:r>
          </w:p>
          <w:p w14:paraId="3EBAE62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eastAsia" w:ascii="Times New Roman" w:eastAsia="仿宋_GB2312" w:cs="Times New Roman"/>
                <w:b w:val="0"/>
                <w:bCs w:val="0"/>
                <w:sz w:val="21"/>
                <w:szCs w:val="21"/>
                <w:lang w:val="en-US" w:eastAsia="zh-CN"/>
              </w:rPr>
              <w:t>4</w:t>
            </w:r>
            <w:r>
              <w:rPr>
                <w:rFonts w:hint="default" w:ascii="Times New Roman" w:hAnsi="Times New Roman" w:eastAsia="仿宋_GB2312" w:cs="Times New Roman"/>
                <w:b w:val="0"/>
                <w:bCs w:val="0"/>
                <w:sz w:val="21"/>
                <w:szCs w:val="21"/>
                <w:lang w:val="en-US" w:eastAsia="zh-CN"/>
              </w:rPr>
              <w:t>.</w:t>
            </w:r>
            <w:r>
              <w:rPr>
                <w:rFonts w:hint="eastAsia" w:ascii="Times New Roman" w:eastAsia="仿宋_GB2312" w:cs="Times New Roman"/>
                <w:b w:val="0"/>
                <w:bCs w:val="0"/>
                <w:sz w:val="21"/>
                <w:szCs w:val="21"/>
                <w:lang w:val="en-US" w:eastAsia="zh-CN"/>
              </w:rPr>
              <w:t>项目完成后</w:t>
            </w:r>
            <w:r>
              <w:rPr>
                <w:rFonts w:hint="default" w:ascii="Times New Roman" w:hAnsi="Times New Roman" w:eastAsia="仿宋_GB2312" w:cs="Times New Roman"/>
                <w:b w:val="0"/>
                <w:bCs w:val="0"/>
                <w:sz w:val="21"/>
                <w:szCs w:val="21"/>
                <w:lang w:val="en-US" w:eastAsia="zh-CN"/>
              </w:rPr>
              <w:t>，比选人向中选人支付至</w:t>
            </w:r>
            <w:r>
              <w:rPr>
                <w:rFonts w:hint="default" w:ascii="Times New Roman" w:eastAsia="仿宋_GB2312"/>
                <w:sz w:val="21"/>
                <w:szCs w:val="21"/>
              </w:rPr>
              <w:t>成交金额的9</w:t>
            </w:r>
            <w:r>
              <w:rPr>
                <w:rFonts w:hint="eastAsia" w:ascii="Times New Roman" w:eastAsia="仿宋_GB2312"/>
                <w:sz w:val="21"/>
                <w:szCs w:val="21"/>
                <w:lang w:eastAsia="zh-CN"/>
              </w:rPr>
              <w:t>7</w:t>
            </w:r>
            <w:r>
              <w:rPr>
                <w:rFonts w:hint="default" w:ascii="Times New Roman" w:hAnsi="Times New Roman" w:eastAsia="仿宋_GB2312" w:cs="Times New Roman"/>
                <w:b w:val="0"/>
                <w:bCs w:val="0"/>
                <w:sz w:val="21"/>
                <w:szCs w:val="21"/>
                <w:lang w:val="en-US" w:eastAsia="zh-CN"/>
              </w:rPr>
              <w:t>%。</w:t>
            </w:r>
          </w:p>
          <w:p w14:paraId="779E597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Times New Roman" w:eastAsia="仿宋_GB2312" w:cs="Times New Roman"/>
                <w:b w:val="0"/>
                <w:bCs w:val="0"/>
                <w:sz w:val="21"/>
                <w:szCs w:val="21"/>
                <w:lang w:val="en-US" w:eastAsia="zh-CN"/>
              </w:rPr>
            </w:pPr>
            <w:r>
              <w:rPr>
                <w:rFonts w:hint="eastAsia" w:ascii="Times New Roman" w:eastAsia="仿宋_GB2312" w:cs="Times New Roman"/>
                <w:b w:val="0"/>
                <w:bCs w:val="0"/>
                <w:sz w:val="21"/>
                <w:szCs w:val="21"/>
                <w:lang w:val="en-US" w:eastAsia="zh-CN"/>
              </w:rPr>
              <w:t>5.</w:t>
            </w:r>
            <w:r>
              <w:rPr>
                <w:rFonts w:hint="default" w:ascii="Times New Roman" w:eastAsia="仿宋_GB2312"/>
                <w:sz w:val="21"/>
                <w:szCs w:val="21"/>
              </w:rPr>
              <w:t>质保期满后</w:t>
            </w:r>
            <w:r>
              <w:rPr>
                <w:rFonts w:hint="eastAsia" w:ascii="Times New Roman" w:eastAsia="仿宋_GB2312"/>
                <w:sz w:val="21"/>
                <w:szCs w:val="21"/>
                <w:lang w:eastAsia="zh-CN"/>
              </w:rPr>
              <w:t>，</w:t>
            </w:r>
            <w:r>
              <w:rPr>
                <w:rFonts w:hint="default" w:ascii="Times New Roman" w:hAnsi="Times New Roman" w:eastAsia="仿宋_GB2312" w:cs="Times New Roman"/>
                <w:b w:val="0"/>
                <w:bCs w:val="0"/>
                <w:sz w:val="21"/>
                <w:szCs w:val="21"/>
                <w:lang w:val="en-US" w:eastAsia="zh-CN"/>
              </w:rPr>
              <w:t>比选人向中选人支付至</w:t>
            </w:r>
            <w:r>
              <w:rPr>
                <w:rFonts w:hint="default" w:ascii="Times New Roman" w:eastAsia="仿宋_GB2312"/>
                <w:sz w:val="21"/>
                <w:szCs w:val="21"/>
              </w:rPr>
              <w:t>成交金额的</w:t>
            </w:r>
            <w:r>
              <w:rPr>
                <w:rFonts w:hint="eastAsia" w:ascii="Times New Roman" w:eastAsia="仿宋_GB2312"/>
                <w:sz w:val="21"/>
                <w:szCs w:val="21"/>
                <w:lang w:val="en-US" w:eastAsia="zh-CN"/>
              </w:rPr>
              <w:t>100</w:t>
            </w:r>
            <w:r>
              <w:rPr>
                <w:rFonts w:hint="default" w:ascii="Times New Roman" w:hAnsi="Times New Roman" w:eastAsia="仿宋_GB2312" w:cs="Times New Roman"/>
                <w:b w:val="0"/>
                <w:bCs w:val="0"/>
                <w:sz w:val="21"/>
                <w:szCs w:val="21"/>
                <w:lang w:val="en-US" w:eastAsia="zh-CN"/>
              </w:rPr>
              <w:t>%。</w:t>
            </w:r>
          </w:p>
          <w:p w14:paraId="34C3ACAC">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eastAsia" w:ascii="Times New Roman" w:eastAsia="仿宋_GB2312" w:cs="Times New Roman"/>
                <w:b w:val="0"/>
                <w:bCs w:val="0"/>
                <w:sz w:val="21"/>
                <w:szCs w:val="21"/>
                <w:lang w:val="en-US" w:eastAsia="zh-CN"/>
              </w:rPr>
              <w:t>6</w:t>
            </w:r>
            <w:r>
              <w:rPr>
                <w:rFonts w:hint="default" w:ascii="Times New Roman" w:hAnsi="Times New Roman" w:eastAsia="仿宋_GB2312" w:cs="Times New Roman"/>
                <w:b w:val="0"/>
                <w:bCs w:val="0"/>
                <w:sz w:val="21"/>
                <w:szCs w:val="21"/>
                <w:lang w:val="en-US" w:eastAsia="zh-CN"/>
              </w:rPr>
              <w:t>.比选人每次付款前，中选人应事先提供等额正规发票和相关请款资料，否则比选人有权不予付款且不承担违约责任。</w:t>
            </w:r>
          </w:p>
        </w:tc>
      </w:tr>
      <w:tr w14:paraId="717E7F5F">
        <w:tblPrEx>
          <w:tblCellMar>
            <w:top w:w="0" w:type="dxa"/>
            <w:left w:w="108" w:type="dxa"/>
            <w:bottom w:w="0" w:type="dxa"/>
            <w:right w:w="108" w:type="dxa"/>
          </w:tblCellMar>
        </w:tblPrEx>
        <w:trPr>
          <w:trHeight w:val="604" w:hRule="atLeast"/>
        </w:trPr>
        <w:tc>
          <w:tcPr>
            <w:tcW w:w="619" w:type="pct"/>
            <w:tcBorders>
              <w:top w:val="single" w:color="auto" w:sz="4" w:space="0"/>
              <w:left w:val="single" w:color="auto" w:sz="4" w:space="0"/>
              <w:bottom w:val="single" w:color="auto" w:sz="4" w:space="0"/>
              <w:right w:val="single" w:color="auto" w:sz="4" w:space="0"/>
            </w:tcBorders>
            <w:vAlign w:val="center"/>
          </w:tcPr>
          <w:p w14:paraId="463B9F6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7</w:t>
            </w:r>
          </w:p>
        </w:tc>
        <w:tc>
          <w:tcPr>
            <w:tcW w:w="866" w:type="pct"/>
            <w:tcBorders>
              <w:top w:val="single" w:color="auto" w:sz="4" w:space="0"/>
              <w:left w:val="nil"/>
              <w:bottom w:val="single" w:color="auto" w:sz="4" w:space="0"/>
              <w:right w:val="single" w:color="auto" w:sz="4" w:space="0"/>
            </w:tcBorders>
            <w:vAlign w:val="center"/>
          </w:tcPr>
          <w:p w14:paraId="7AB855E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工程材料要求</w:t>
            </w:r>
          </w:p>
        </w:tc>
        <w:tc>
          <w:tcPr>
            <w:tcW w:w="3514" w:type="pct"/>
            <w:tcBorders>
              <w:top w:val="single" w:color="auto" w:sz="4" w:space="0"/>
              <w:left w:val="nil"/>
              <w:bottom w:val="single" w:color="auto" w:sz="4" w:space="0"/>
              <w:right w:val="single" w:color="auto" w:sz="4" w:space="0"/>
            </w:tcBorders>
            <w:vAlign w:val="center"/>
          </w:tcPr>
          <w:p w14:paraId="5A8B666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1.中选人使用的工程材料均应满足设计和规范要求的质量等级，比选人如有要求，须向比选人提供产品合格证明和检验资料，因材料质量引起的工程质量问题由供应商承担所造成的一切经济损失和工期损失。</w:t>
            </w:r>
          </w:p>
          <w:p w14:paraId="04CFDD11">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2.如比选人对该部分材料的质量有异议，有权提出停止使用的要求，申请人必须服从该要求。该部分材料经权威检验部门鉴定确有质量问题，由此而发生的一切费用由申请人自负。</w:t>
            </w:r>
          </w:p>
        </w:tc>
      </w:tr>
      <w:tr w14:paraId="0069C680">
        <w:tblPrEx>
          <w:tblCellMar>
            <w:top w:w="0" w:type="dxa"/>
            <w:left w:w="108" w:type="dxa"/>
            <w:bottom w:w="0" w:type="dxa"/>
            <w:right w:w="108" w:type="dxa"/>
          </w:tblCellMar>
        </w:tblPrEx>
        <w:trPr>
          <w:trHeight w:val="604" w:hRule="atLeast"/>
        </w:trPr>
        <w:tc>
          <w:tcPr>
            <w:tcW w:w="619" w:type="pct"/>
            <w:tcBorders>
              <w:top w:val="single" w:color="auto" w:sz="4" w:space="0"/>
              <w:left w:val="single" w:color="auto" w:sz="4" w:space="0"/>
              <w:bottom w:val="single" w:color="auto" w:sz="4" w:space="0"/>
              <w:right w:val="single" w:color="auto" w:sz="4" w:space="0"/>
            </w:tcBorders>
            <w:vAlign w:val="center"/>
          </w:tcPr>
          <w:p w14:paraId="58BF5B7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w:t>
            </w:r>
          </w:p>
        </w:tc>
        <w:tc>
          <w:tcPr>
            <w:tcW w:w="866" w:type="pct"/>
            <w:tcBorders>
              <w:top w:val="single" w:color="auto" w:sz="4" w:space="0"/>
              <w:left w:val="nil"/>
              <w:bottom w:val="single" w:color="auto" w:sz="4" w:space="0"/>
              <w:right w:val="single" w:color="auto" w:sz="4" w:space="0"/>
            </w:tcBorders>
            <w:vAlign w:val="center"/>
          </w:tcPr>
          <w:p w14:paraId="3560FA49">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现场管理要求</w:t>
            </w:r>
          </w:p>
        </w:tc>
        <w:tc>
          <w:tcPr>
            <w:tcW w:w="3514" w:type="pct"/>
            <w:tcBorders>
              <w:top w:val="single" w:color="auto" w:sz="4" w:space="0"/>
              <w:left w:val="nil"/>
              <w:bottom w:val="single" w:color="auto" w:sz="4" w:space="0"/>
              <w:right w:val="single" w:color="auto" w:sz="4" w:space="0"/>
            </w:tcBorders>
            <w:vAlign w:val="center"/>
          </w:tcPr>
          <w:p w14:paraId="75525C3F">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1.涉及技术变更及工程量增加需经比选人现场确认后方能实施。</w:t>
            </w:r>
          </w:p>
          <w:p w14:paraId="634DD1E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2.施工完成后需完成所有工程竣工资料后方能组织验收。</w:t>
            </w:r>
          </w:p>
          <w:p w14:paraId="07ED5432">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3.中选人须按比选文件组织相关管理及技术人员到岗到位，比选人实行考勤制度，并相关人员资质须交比选人，待合同结束后归还。</w:t>
            </w:r>
          </w:p>
          <w:p w14:paraId="0D4B263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4.中选人如更换现场管理人员时，须保持在原有人员资质以上，并经比选人同意方可更换。</w:t>
            </w:r>
          </w:p>
        </w:tc>
      </w:tr>
      <w:tr w14:paraId="06DC1F01">
        <w:tblPrEx>
          <w:tblCellMar>
            <w:top w:w="0" w:type="dxa"/>
            <w:left w:w="108" w:type="dxa"/>
            <w:bottom w:w="0" w:type="dxa"/>
            <w:right w:w="108" w:type="dxa"/>
          </w:tblCellMar>
        </w:tblPrEx>
        <w:trPr>
          <w:trHeight w:val="698" w:hRule="atLeast"/>
        </w:trPr>
        <w:tc>
          <w:tcPr>
            <w:tcW w:w="619" w:type="pct"/>
            <w:tcBorders>
              <w:top w:val="single" w:color="auto" w:sz="4" w:space="0"/>
              <w:left w:val="single" w:color="auto" w:sz="4" w:space="0"/>
              <w:bottom w:val="single" w:color="auto" w:sz="4" w:space="0"/>
              <w:right w:val="single" w:color="auto" w:sz="4" w:space="0"/>
            </w:tcBorders>
            <w:vAlign w:val="center"/>
          </w:tcPr>
          <w:p w14:paraId="2AFC8CF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9</w:t>
            </w:r>
          </w:p>
        </w:tc>
        <w:tc>
          <w:tcPr>
            <w:tcW w:w="866" w:type="pct"/>
            <w:tcBorders>
              <w:top w:val="single" w:color="auto" w:sz="4" w:space="0"/>
              <w:left w:val="nil"/>
              <w:bottom w:val="single" w:color="auto" w:sz="4" w:space="0"/>
              <w:right w:val="single" w:color="auto" w:sz="4" w:space="0"/>
            </w:tcBorders>
            <w:vAlign w:val="center"/>
          </w:tcPr>
          <w:p w14:paraId="3E98FA4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违约责任</w:t>
            </w:r>
          </w:p>
        </w:tc>
        <w:tc>
          <w:tcPr>
            <w:tcW w:w="3514" w:type="pct"/>
            <w:tcBorders>
              <w:top w:val="single" w:color="auto" w:sz="4" w:space="0"/>
              <w:left w:val="nil"/>
              <w:bottom w:val="single" w:color="auto" w:sz="4" w:space="0"/>
              <w:right w:val="single" w:color="auto" w:sz="4" w:space="0"/>
            </w:tcBorders>
            <w:vAlign w:val="center"/>
          </w:tcPr>
          <w:p w14:paraId="595B632F">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本项目实行项目经理、项目技术负责人压证施工制度。中选人若成交后，提供人员的执业资格证书原件后才能签订合同，至工程竣工验收合格后才能退还。中选人项目经理短期离开施工场地，应事先征得比选人同意，并委派代表代行其职责，项目经理未经批准，擅自离开施工现场的违约责任：每发生一次成交供应商应支付2万元违约金，发生3次及以上的，比选人有权终止合同。</w:t>
            </w:r>
          </w:p>
          <w:p w14:paraId="67CCAF57">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2.中选人擅自更换项目经理或技术负责人的违约责任：支付2万元/人•次违约金；发生三次及以上的，比选人有权终止合同。</w:t>
            </w:r>
          </w:p>
          <w:p w14:paraId="51DA405C">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3.中选人无正当理由更换项目经理的违约责任；比选人有权终止合同。</w:t>
            </w:r>
          </w:p>
          <w:p w14:paraId="3CCE23F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4.中选人因非不可抗力因素导致竣工延期的违约责任：中选人每延期竣工一天，按暂定合同总价的2%向采购人支付逾期违约金（不可抗拒的原因除外）。</w:t>
            </w:r>
          </w:p>
        </w:tc>
      </w:tr>
      <w:tr w14:paraId="467ACD77">
        <w:tblPrEx>
          <w:tblCellMar>
            <w:top w:w="0" w:type="dxa"/>
            <w:left w:w="108" w:type="dxa"/>
            <w:bottom w:w="0" w:type="dxa"/>
            <w:right w:w="108" w:type="dxa"/>
          </w:tblCellMar>
        </w:tblPrEx>
        <w:trPr>
          <w:trHeight w:val="698" w:hRule="atLeast"/>
        </w:trPr>
        <w:tc>
          <w:tcPr>
            <w:tcW w:w="619" w:type="pct"/>
            <w:tcBorders>
              <w:top w:val="single" w:color="auto" w:sz="4" w:space="0"/>
              <w:left w:val="single" w:color="auto" w:sz="4" w:space="0"/>
              <w:bottom w:val="single" w:color="auto" w:sz="4" w:space="0"/>
              <w:right w:val="single" w:color="auto" w:sz="4" w:space="0"/>
            </w:tcBorders>
            <w:vAlign w:val="center"/>
          </w:tcPr>
          <w:p w14:paraId="6443AAC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w:t>
            </w:r>
          </w:p>
        </w:tc>
        <w:tc>
          <w:tcPr>
            <w:tcW w:w="866" w:type="pct"/>
            <w:tcBorders>
              <w:top w:val="single" w:color="auto" w:sz="4" w:space="0"/>
              <w:left w:val="nil"/>
              <w:bottom w:val="single" w:color="auto" w:sz="4" w:space="0"/>
              <w:right w:val="single" w:color="auto" w:sz="4" w:space="0"/>
            </w:tcBorders>
            <w:vAlign w:val="center"/>
          </w:tcPr>
          <w:p w14:paraId="35A1E6C1">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其他要求</w:t>
            </w:r>
          </w:p>
        </w:tc>
        <w:tc>
          <w:tcPr>
            <w:tcW w:w="3514" w:type="pct"/>
            <w:tcBorders>
              <w:top w:val="single" w:color="auto" w:sz="4" w:space="0"/>
              <w:left w:val="nil"/>
              <w:bottom w:val="single" w:color="auto" w:sz="4" w:space="0"/>
              <w:right w:val="single" w:color="auto" w:sz="4" w:space="0"/>
            </w:tcBorders>
            <w:vAlign w:val="center"/>
          </w:tcPr>
          <w:p w14:paraId="45CD7963">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1.本项目承包方式为：包工包料。</w:t>
            </w:r>
          </w:p>
          <w:p w14:paraId="344E14C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选人应积极做好人员的安全防护教育，按比选人要求做好安全防护工作。中选人委派的人员在工作中受到伤害或遇到其他事故伤害时，所产生的责任及发生的所有费用均由供应商承担和解决，采购人不承担任何责任。</w:t>
            </w:r>
          </w:p>
          <w:p w14:paraId="2D62E95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3.施工组织设计方案应满足国家现行强制性技术规范</w:t>
            </w:r>
          </w:p>
          <w:p w14:paraId="22FFFC8D">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4.到岗作业，不得影响园区的正常工作。中选人在每一施工日后须做好现场设备设施整理工作，预防安全隐患，有必要的情况下，设置警示牌等；比选人不得以任何理由推脱、推迟项目施工等。</w:t>
            </w:r>
          </w:p>
        </w:tc>
      </w:tr>
      <w:bookmarkEnd w:id="423"/>
    </w:tbl>
    <w:p w14:paraId="4EEC3604">
      <w:pPr>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p>
    <w:p w14:paraId="7F0BD183">
      <w:pPr>
        <w:pStyle w:val="31"/>
        <w:outlineLvl w:val="9"/>
        <w:rPr>
          <w:rFonts w:hint="default" w:ascii="Times New Roman" w:hAnsi="Times New Roman" w:eastAsia="华文中宋" w:cs="Times New Roman"/>
          <w:color w:val="000000" w:themeColor="text1"/>
          <w14:textFill>
            <w14:solidFill>
              <w14:schemeClr w14:val="tx1"/>
            </w14:solidFill>
          </w14:textFill>
        </w:rPr>
        <w:sectPr>
          <w:footerReference r:id="rId8" w:type="default"/>
          <w:pgSz w:w="11907" w:h="16840"/>
          <w:pgMar w:top="1440" w:right="1474" w:bottom="1440" w:left="1474" w:header="851" w:footer="992" w:gutter="0"/>
          <w:pgNumType w:fmt="decimal"/>
          <w:cols w:space="425" w:num="1"/>
          <w:docGrid w:linePitch="312" w:charSpace="0"/>
        </w:sectPr>
      </w:pPr>
    </w:p>
    <w:p w14:paraId="4877EFDC">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方正公文小标宋" w:cs="Times New Roman"/>
        </w:rPr>
      </w:pPr>
      <w:bookmarkStart w:id="424" w:name="_Toc16249"/>
      <w:bookmarkStart w:id="425" w:name="_Toc7131"/>
      <w:bookmarkStart w:id="426" w:name="_Toc1918"/>
      <w:bookmarkStart w:id="427" w:name="_Toc19202"/>
      <w:bookmarkStart w:id="428" w:name="_Toc29500"/>
      <w:bookmarkStart w:id="429" w:name="_Toc15030"/>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五</w:t>
      </w:r>
      <w:r>
        <w:rPr>
          <w:rFonts w:hint="default" w:ascii="Times New Roman" w:hAnsi="Times New Roman" w:eastAsia="方正公文小标宋" w:cs="Times New Roman"/>
        </w:rPr>
        <w:t>章</w:t>
      </w:r>
      <w:r>
        <w:rPr>
          <w:rFonts w:hint="default" w:ascii="Times New Roman" w:hAnsi="Times New Roman" w:eastAsia="方正公文小标宋" w:cs="Times New Roman"/>
          <w:lang w:val="en-US" w:eastAsia="zh-CN"/>
        </w:rPr>
        <w:t xml:space="preserve">  </w:t>
      </w:r>
      <w:r>
        <w:rPr>
          <w:rFonts w:hint="default" w:ascii="Times New Roman" w:hAnsi="Times New Roman" w:eastAsia="方正公文小标宋" w:cs="Times New Roman"/>
        </w:rPr>
        <w:t>响应文件格式</w:t>
      </w:r>
      <w:bookmarkEnd w:id="372"/>
      <w:bookmarkEnd w:id="382"/>
      <w:bookmarkEnd w:id="383"/>
      <w:bookmarkEnd w:id="424"/>
      <w:bookmarkEnd w:id="425"/>
      <w:bookmarkEnd w:id="426"/>
      <w:bookmarkEnd w:id="427"/>
      <w:bookmarkEnd w:id="428"/>
      <w:bookmarkEnd w:id="429"/>
    </w:p>
    <w:p w14:paraId="2C0B7EE7">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30" w:name="_Toc217446082"/>
      <w:bookmarkStart w:id="431" w:name="_Toc10302"/>
      <w:bookmarkStart w:id="432" w:name="_Toc30352"/>
      <w:bookmarkStart w:id="433" w:name="_Toc5693"/>
      <w:bookmarkStart w:id="434" w:name="_Toc9377"/>
      <w:bookmarkStart w:id="435" w:name="_Toc27664"/>
      <w:r>
        <w:rPr>
          <w:rFonts w:hint="default" w:ascii="Times New Roman" w:hAnsi="Times New Roman" w:eastAsia="黑体" w:cs="Times New Roman"/>
          <w:sz w:val="24"/>
          <w:szCs w:val="20"/>
        </w:rPr>
        <w:t>一、</w:t>
      </w:r>
      <w:bookmarkEnd w:id="430"/>
      <w:r>
        <w:rPr>
          <w:rFonts w:hint="default" w:ascii="Times New Roman" w:hAnsi="Times New Roman" w:eastAsia="黑体" w:cs="Times New Roman"/>
          <w:sz w:val="24"/>
          <w:szCs w:val="20"/>
        </w:rPr>
        <w:t>比选函</w:t>
      </w:r>
      <w:bookmarkEnd w:id="431"/>
      <w:bookmarkEnd w:id="432"/>
      <w:bookmarkEnd w:id="433"/>
      <w:bookmarkEnd w:id="434"/>
      <w:bookmarkEnd w:id="435"/>
    </w:p>
    <w:p w14:paraId="0B047B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成都农业科技中心</w:t>
      </w:r>
      <w:r>
        <w:rPr>
          <w:rFonts w:hint="default" w:ascii="Times New Roman" w:hAnsi="Times New Roman" w:eastAsia="仿宋_GB2312" w:cs="Times New Roman"/>
          <w:sz w:val="28"/>
          <w:szCs w:val="28"/>
        </w:rPr>
        <w:t>：</w:t>
      </w:r>
    </w:p>
    <w:p w14:paraId="1DE594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我方全面研究了“</w:t>
      </w:r>
      <w:r>
        <w:rPr>
          <w:rFonts w:hint="default" w:ascii="Times New Roman" w:hAnsi="Times New Roman" w:eastAsia="仿宋_GB2312" w:cs="Times New Roman"/>
          <w:sz w:val="28"/>
          <w:szCs w:val="28"/>
          <w:lang w:val="en-US" w:eastAsia="zh-CN"/>
        </w:rPr>
        <w:t>XXXXXXXX</w:t>
      </w:r>
      <w:r>
        <w:rPr>
          <w:rFonts w:hint="default" w:ascii="Times New Roman" w:hAnsi="Times New Roman" w:eastAsia="仿宋_GB2312" w:cs="Times New Roman"/>
          <w:sz w:val="28"/>
          <w:szCs w:val="28"/>
        </w:rPr>
        <w:t>”项目比选文件（比选编号：</w:t>
      </w:r>
      <w:r>
        <w:rPr>
          <w:rFonts w:hint="default" w:ascii="Times New Roman" w:hAnsi="Times New Roman" w:eastAsia="仿宋_GB2312" w:cs="Times New Roman"/>
          <w:sz w:val="28"/>
          <w:szCs w:val="28"/>
          <w:lang w:val="en-US" w:eastAsia="zh-CN"/>
        </w:rPr>
        <w:t>XXXXXXXX</w:t>
      </w:r>
      <w:r>
        <w:rPr>
          <w:rFonts w:hint="default" w:ascii="Times New Roman" w:hAnsi="Times New Roman" w:eastAsia="仿宋_GB2312" w:cs="Times New Roman"/>
          <w:sz w:val="28"/>
          <w:szCs w:val="28"/>
        </w:rPr>
        <w:t>），决定参加贵单位组织的本项目比选。</w:t>
      </w:r>
    </w:p>
    <w:p w14:paraId="021F6A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我方授权XXX</w:t>
      </w:r>
      <w:r>
        <w:rPr>
          <w:rFonts w:hint="default" w:ascii="Times New Roman" w:hAnsi="Times New Roman" w:eastAsia="仿宋_GB2312" w:cs="Times New Roman"/>
          <w:sz w:val="28"/>
          <w:szCs w:val="28"/>
          <w:lang w:val="en-US" w:eastAsia="zh-CN"/>
        </w:rPr>
        <w:t>X</w:t>
      </w:r>
      <w:r>
        <w:rPr>
          <w:rFonts w:hint="default" w:ascii="Times New Roman" w:hAnsi="Times New Roman" w:eastAsia="仿宋_GB2312" w:cs="Times New Roman"/>
          <w:sz w:val="28"/>
          <w:szCs w:val="28"/>
        </w:rPr>
        <w:t>（姓名、职务）代表我方XXXX（</w:t>
      </w:r>
      <w:r>
        <w:rPr>
          <w:rFonts w:hint="default" w:ascii="Times New Roman" w:hAnsi="Times New Roman" w:eastAsia="仿宋_GB2312" w:cs="Times New Roman"/>
          <w:sz w:val="28"/>
          <w:szCs w:val="28"/>
          <w:lang w:eastAsia="zh-CN"/>
        </w:rPr>
        <w:t>申请人</w:t>
      </w:r>
      <w:r>
        <w:rPr>
          <w:rFonts w:hint="default" w:ascii="Times New Roman" w:hAnsi="Times New Roman" w:eastAsia="仿宋_GB2312" w:cs="Times New Roman"/>
          <w:sz w:val="28"/>
          <w:szCs w:val="28"/>
        </w:rPr>
        <w:t>名称）全权处理本项目比选的有关事宜。</w:t>
      </w:r>
    </w:p>
    <w:p w14:paraId="31FED0A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我方自愿按照比选文件规定的各项要求向比选人提供所需货物/服务。</w:t>
      </w:r>
    </w:p>
    <w:p w14:paraId="2AC8FA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一旦我方中选，我方将严格履行合同规定的责任和义务。</w:t>
      </w:r>
    </w:p>
    <w:p w14:paraId="20FA45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我方为本项目提交的比选申请文件正本1份，副本</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份。</w:t>
      </w:r>
    </w:p>
    <w:p w14:paraId="5522A7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我方承诺比选有效期为比选截止日后</w:t>
      </w:r>
      <w:r>
        <w:rPr>
          <w:rFonts w:hint="default" w:ascii="Times New Roman" w:hAnsi="Times New Roman" w:eastAsia="仿宋_GB2312" w:cs="Times New Roman"/>
          <w:sz w:val="28"/>
          <w:szCs w:val="28"/>
          <w:lang w:val="en-US" w:eastAsia="zh-CN"/>
        </w:rPr>
        <w:t>90</w:t>
      </w:r>
      <w:r>
        <w:rPr>
          <w:rFonts w:hint="default" w:ascii="Times New Roman" w:hAnsi="Times New Roman" w:eastAsia="仿宋_GB2312" w:cs="Times New Roman"/>
          <w:sz w:val="28"/>
          <w:szCs w:val="28"/>
        </w:rPr>
        <w:t>天（日历日）。</w:t>
      </w:r>
    </w:p>
    <w:p w14:paraId="3E8306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我方愿意提供贵公司可能另外要求的，与比选有关的文件资料，并保证我方已提供和将要提供的文件资料是真实、准确的。</w:t>
      </w:r>
    </w:p>
    <w:p w14:paraId="4BAA58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我方完全理解比选人不一定将合同授予最低报价的</w:t>
      </w:r>
      <w:r>
        <w:rPr>
          <w:rFonts w:hint="default" w:ascii="Times New Roman" w:hAnsi="Times New Roman" w:eastAsia="仿宋_GB2312" w:cs="Times New Roman"/>
          <w:sz w:val="28"/>
          <w:szCs w:val="28"/>
          <w:lang w:eastAsia="zh-CN"/>
        </w:rPr>
        <w:t>申请人</w:t>
      </w:r>
      <w:r>
        <w:rPr>
          <w:rFonts w:hint="default" w:ascii="Times New Roman" w:hAnsi="Times New Roman" w:eastAsia="仿宋_GB2312" w:cs="Times New Roman"/>
          <w:sz w:val="28"/>
          <w:szCs w:val="28"/>
        </w:rPr>
        <w:t>的行为。</w:t>
      </w:r>
    </w:p>
    <w:p w14:paraId="353CD0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0A03881F">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申请人</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全称并</w:t>
      </w:r>
      <w:r>
        <w:rPr>
          <w:rFonts w:hint="default" w:ascii="Times New Roman" w:hAnsi="Times New Roman" w:eastAsia="仿宋_GB2312" w:cs="Times New Roman"/>
          <w:bCs/>
          <w:sz w:val="28"/>
          <w:szCs w:val="28"/>
        </w:rPr>
        <w:t>盖章）：</w:t>
      </w:r>
    </w:p>
    <w:p w14:paraId="4C82BFF8">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法定代表人/授权代表（签字）：</w:t>
      </w:r>
    </w:p>
    <w:p w14:paraId="7079FD2A">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通讯地址：</w:t>
      </w:r>
    </w:p>
    <w:p w14:paraId="5A54909F">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邮政编码：</w:t>
      </w:r>
    </w:p>
    <w:p w14:paraId="61CFC85A">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联系电话：</w:t>
      </w:r>
    </w:p>
    <w:p w14:paraId="1C16D529">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传真：</w:t>
      </w:r>
    </w:p>
    <w:p w14:paraId="6A9105C1">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 w:cs="Times New Roman"/>
          <w:bCs/>
          <w:sz w:val="28"/>
          <w:szCs w:val="28"/>
        </w:rPr>
      </w:pPr>
      <w:r>
        <w:rPr>
          <w:rFonts w:hint="default" w:ascii="Times New Roman" w:hAnsi="Times New Roman" w:eastAsia="仿宋_GB2312" w:cs="Times New Roman"/>
          <w:bCs/>
          <w:sz w:val="28"/>
          <w:szCs w:val="28"/>
        </w:rPr>
        <w:t>日期：</w:t>
      </w:r>
      <w:bookmarkStart w:id="436" w:name="_Toc217446083"/>
    </w:p>
    <w:p w14:paraId="01052EFA">
      <w:pPr>
        <w:pStyle w:val="22"/>
        <w:keepNext w:val="0"/>
        <w:keepLines w:val="0"/>
        <w:pageBreakBefore w:val="0"/>
        <w:widowControl w:val="0"/>
        <w:tabs>
          <w:tab w:val="left" w:leader="dot" w:pos="2520"/>
        </w:tabs>
        <w:kinsoku/>
        <w:wordWrap/>
        <w:overflowPunct/>
        <w:topLinePunct w:val="0"/>
        <w:autoSpaceDE/>
        <w:autoSpaceDN/>
        <w:bidi w:val="0"/>
        <w:adjustRightInd/>
        <w:snapToGrid/>
        <w:spacing w:line="400" w:lineRule="exact"/>
        <w:ind w:firstLine="560" w:firstLineChars="200"/>
        <w:jc w:val="right"/>
        <w:textAlignment w:val="auto"/>
        <w:rPr>
          <w:rFonts w:hint="default" w:ascii="Times New Roman" w:hAnsi="Times New Roman" w:eastAsia="仿宋" w:cs="Times New Roman"/>
          <w:bCs/>
          <w:sz w:val="28"/>
          <w:szCs w:val="28"/>
        </w:rPr>
      </w:pPr>
    </w:p>
    <w:p w14:paraId="7CB34DB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29E6031F">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37" w:name="_Toc25418"/>
      <w:bookmarkStart w:id="438" w:name="_Toc12106"/>
      <w:bookmarkStart w:id="439" w:name="_Toc943"/>
      <w:bookmarkStart w:id="440" w:name="_Toc15340"/>
      <w:bookmarkStart w:id="441" w:name="_Toc23215"/>
      <w:r>
        <w:rPr>
          <w:rFonts w:hint="default" w:ascii="Times New Roman" w:hAnsi="Times New Roman" w:eastAsia="黑体" w:cs="Times New Roman"/>
          <w:sz w:val="24"/>
          <w:szCs w:val="20"/>
        </w:rPr>
        <w:t>二、法定代表人授权书</w:t>
      </w:r>
      <w:bookmarkEnd w:id="436"/>
      <w:bookmarkEnd w:id="437"/>
      <w:bookmarkEnd w:id="438"/>
      <w:bookmarkEnd w:id="439"/>
      <w:bookmarkEnd w:id="440"/>
      <w:bookmarkEnd w:id="441"/>
    </w:p>
    <w:p w14:paraId="478093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授权声明：XXXX（申请人名称）XXXX（法定代表人/单位负责人姓名、职务）授权XXXX（被授权人姓名、职务）为我方“XXXX”项目（比选编号：XXXX）比选活动的合法代表，以我方名义全权处理该项目有关比选、签订合同以及执行合同等一切事宜。</w:t>
      </w:r>
    </w:p>
    <w:p w14:paraId="6697E8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特此声明。</w:t>
      </w:r>
    </w:p>
    <w:p w14:paraId="206F56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2F4CA1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54228AF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1A17BB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w:t>
      </w:r>
      <w:r>
        <w:rPr>
          <w:rFonts w:hint="default" w:ascii="Times New Roman" w:hAnsi="Times New Roman" w:eastAsia="仿宋_GB2312" w:cs="Times New Roman"/>
          <w:sz w:val="28"/>
          <w:szCs w:val="28"/>
        </w:rPr>
        <w:t>（签字）</w:t>
      </w:r>
      <w:r>
        <w:rPr>
          <w:rFonts w:hint="default" w:ascii="Times New Roman" w:hAnsi="Times New Roman" w:eastAsia="仿宋_GB2312" w:cs="Times New Roman"/>
          <w:sz w:val="28"/>
          <w:szCs w:val="28"/>
          <w:lang w:val="en-US" w:eastAsia="zh-CN"/>
        </w:rPr>
        <w:t>：</w:t>
      </w:r>
    </w:p>
    <w:p w14:paraId="394E18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授权代表</w:t>
      </w:r>
      <w:r>
        <w:rPr>
          <w:rFonts w:hint="default" w:ascii="Times New Roman" w:hAnsi="Times New Roman" w:eastAsia="仿宋_GB2312" w:cs="Times New Roman"/>
          <w:sz w:val="28"/>
          <w:szCs w:val="28"/>
        </w:rPr>
        <w:t>（签字）</w:t>
      </w:r>
      <w:r>
        <w:rPr>
          <w:rFonts w:hint="default" w:ascii="Times New Roman" w:hAnsi="Times New Roman" w:eastAsia="仿宋_GB2312" w:cs="Times New Roman"/>
          <w:sz w:val="28"/>
          <w:szCs w:val="28"/>
          <w:lang w:val="en-US" w:eastAsia="zh-CN"/>
        </w:rPr>
        <w:t>：</w:t>
      </w:r>
    </w:p>
    <w:p w14:paraId="1F82DF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662E771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日期：</w:t>
      </w:r>
    </w:p>
    <w:p w14:paraId="5CEA0146">
      <w:pPr>
        <w:keepNext w:val="0"/>
        <w:keepLines w:val="0"/>
        <w:pageBreakBefore w:val="0"/>
        <w:widowControl w:val="0"/>
        <w:kinsoku/>
        <w:wordWrap/>
        <w:overflowPunct/>
        <w:topLinePunct w:val="0"/>
        <w:autoSpaceDE/>
        <w:autoSpaceDN/>
        <w:bidi w:val="0"/>
        <w:adjustRightInd/>
        <w:snapToGrid/>
        <w:spacing w:line="560" w:lineRule="exact"/>
        <w:ind w:left="420" w:leftChars="0" w:firstLine="420" w:firstLineChars="0"/>
        <w:textAlignment w:val="auto"/>
        <w:rPr>
          <w:rFonts w:hint="default" w:ascii="Times New Roman" w:hAnsi="Times New Roman" w:eastAsia="仿宋_GB2312" w:cs="Times New Roman"/>
          <w:sz w:val="28"/>
          <w:szCs w:val="28"/>
          <w:lang w:val="en-US" w:eastAsia="zh-CN"/>
        </w:rPr>
      </w:pPr>
    </w:p>
    <w:p w14:paraId="1F9D71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附：法定代表人和授权代表人身份证复印件（正反面）</w:t>
      </w:r>
    </w:p>
    <w:p w14:paraId="72BC32BF">
      <w:pPr>
        <w:pStyle w:val="2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436B5CA">
      <w:pPr>
        <w:spacing w:line="400" w:lineRule="exact"/>
        <w:rPr>
          <w:rFonts w:hint="default" w:ascii="Times New Roman" w:hAnsi="Times New Roman" w:eastAsia="仿宋" w:cs="Times New Roman"/>
          <w:b/>
          <w:sz w:val="28"/>
          <w:szCs w:val="28"/>
        </w:rPr>
      </w:pPr>
    </w:p>
    <w:p w14:paraId="6B7CFEFC">
      <w:pPr>
        <w:spacing w:line="400" w:lineRule="exact"/>
        <w:rPr>
          <w:rFonts w:hint="default" w:ascii="Times New Roman" w:hAnsi="Times New Roman" w:eastAsia="仿宋" w:cs="Times New Roman"/>
          <w:b/>
          <w:sz w:val="28"/>
          <w:szCs w:val="28"/>
        </w:rPr>
      </w:pPr>
    </w:p>
    <w:p w14:paraId="647AA01D">
      <w:pPr>
        <w:spacing w:line="400" w:lineRule="exact"/>
        <w:rPr>
          <w:rFonts w:hint="default" w:ascii="Times New Roman" w:hAnsi="Times New Roman" w:eastAsia="仿宋" w:cs="Times New Roman"/>
          <w:b/>
          <w:sz w:val="28"/>
          <w:szCs w:val="28"/>
        </w:rPr>
      </w:pPr>
    </w:p>
    <w:p w14:paraId="03E76CBC">
      <w:pPr>
        <w:spacing w:line="400" w:lineRule="exact"/>
        <w:rPr>
          <w:rFonts w:hint="default" w:ascii="Times New Roman" w:hAnsi="Times New Roman" w:eastAsia="仿宋" w:cs="Times New Roman"/>
          <w:b/>
          <w:sz w:val="28"/>
          <w:szCs w:val="28"/>
        </w:rPr>
      </w:pPr>
    </w:p>
    <w:p w14:paraId="16A186A3">
      <w:pPr>
        <w:spacing w:line="400" w:lineRule="exact"/>
        <w:rPr>
          <w:rFonts w:hint="default" w:ascii="Times New Roman" w:hAnsi="Times New Roman" w:eastAsia="仿宋" w:cs="Times New Roman"/>
          <w:b/>
          <w:sz w:val="28"/>
          <w:szCs w:val="28"/>
        </w:rPr>
      </w:pPr>
    </w:p>
    <w:p w14:paraId="68E3C131">
      <w:pPr>
        <w:rPr>
          <w:rFonts w:hint="default" w:ascii="Times New Roman" w:hAnsi="Times New Roman" w:eastAsia="仿宋" w:cs="Times New Roman"/>
        </w:rPr>
      </w:pPr>
      <w:bookmarkStart w:id="442" w:name="_Toc217446084"/>
    </w:p>
    <w:bookmarkEnd w:id="442"/>
    <w:p w14:paraId="2913B0D3">
      <w:pPr>
        <w:rPr>
          <w:rFonts w:hint="default" w:ascii="Times New Roman" w:hAnsi="Times New Roman" w:eastAsia="仿宋" w:cs="Times New Roman"/>
        </w:rPr>
      </w:pPr>
    </w:p>
    <w:p w14:paraId="5459FED1">
      <w:pPr>
        <w:rPr>
          <w:rFonts w:hint="default" w:ascii="Times New Roman" w:hAnsi="Times New Roman" w:eastAsia="仿宋" w:cs="Times New Roman"/>
        </w:rPr>
      </w:pPr>
      <w:r>
        <w:rPr>
          <w:rFonts w:hint="default" w:ascii="Times New Roman" w:hAnsi="Times New Roman" w:eastAsia="仿宋" w:cs="Times New Roman"/>
        </w:rPr>
        <w:br w:type="page"/>
      </w:r>
    </w:p>
    <w:p w14:paraId="1FB355DB">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43" w:name="_Toc23196"/>
      <w:bookmarkStart w:id="444" w:name="_Toc30904"/>
      <w:bookmarkStart w:id="445" w:name="_Toc32505"/>
      <w:bookmarkStart w:id="446" w:name="_Toc29755"/>
      <w:bookmarkStart w:id="447" w:name="_Toc17342"/>
      <w:bookmarkStart w:id="448" w:name="_Toc217446085"/>
      <w:r>
        <w:rPr>
          <w:rFonts w:hint="default" w:ascii="Times New Roman" w:hAnsi="Times New Roman" w:eastAsia="黑体" w:cs="Times New Roman"/>
          <w:sz w:val="24"/>
          <w:szCs w:val="20"/>
        </w:rPr>
        <w:t>三、承诺函</w:t>
      </w:r>
      <w:bookmarkEnd w:id="443"/>
      <w:bookmarkEnd w:id="444"/>
      <w:bookmarkEnd w:id="445"/>
      <w:bookmarkEnd w:id="446"/>
      <w:bookmarkEnd w:id="447"/>
    </w:p>
    <w:p w14:paraId="28FFE9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致：成都农业科技中心</w:t>
      </w:r>
    </w:p>
    <w:p w14:paraId="1AC5BD6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本单位XXXX（申请人名称）参加XXXX（项目名称）的比选活动，现承诺我单位满足以下要求：</w:t>
      </w:r>
    </w:p>
    <w:p w14:paraId="332E10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（一）具有独立承担民事责任的能力；</w:t>
      </w:r>
    </w:p>
    <w:p w14:paraId="6EE9FA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（二）具有良好的商业信誉和健全的财务会计制度；</w:t>
      </w:r>
    </w:p>
    <w:p w14:paraId="645F0F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（三）具有履行合同所必需的设备和专业技术能力；</w:t>
      </w:r>
    </w:p>
    <w:p w14:paraId="272CD0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（四）有依法缴纳税收和社会保障资金的良好记录；</w:t>
      </w:r>
    </w:p>
    <w:p w14:paraId="4DE65F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（五）参加采购活动前三年内，在经营活动中没有重大违法记录，遵守相关的法律和法规；</w:t>
      </w:r>
    </w:p>
    <w:p w14:paraId="01A6661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bookmarkStart w:id="449" w:name="_Toc18765"/>
      <w:bookmarkStart w:id="450" w:name="_Toc28462"/>
      <w:bookmarkStart w:id="451" w:name="_Toc15118"/>
      <w:r>
        <w:rPr>
          <w:rFonts w:hint="default" w:ascii="Times New Roman" w:hAnsi="Times New Roman" w:eastAsia="仿宋_GB2312" w:cs="Times New Roman"/>
          <w:sz w:val="28"/>
          <w:szCs w:val="28"/>
          <w:lang w:val="en-US" w:eastAsia="zh-CN"/>
        </w:rPr>
        <w:t>（六）法律、行政法规规定的其他条件；</w:t>
      </w:r>
      <w:bookmarkEnd w:id="449"/>
      <w:bookmarkEnd w:id="450"/>
      <w:bookmarkEnd w:id="451"/>
    </w:p>
    <w:p w14:paraId="3577DF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如违反以上承诺，本单位愿承担一切法律责任。</w:t>
      </w:r>
    </w:p>
    <w:p w14:paraId="699A625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61016C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591178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6AB419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5FE92E8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日期：</w:t>
      </w:r>
    </w:p>
    <w:p w14:paraId="3B26420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_GB2312" w:cs="Times New Roman"/>
          <w:sz w:val="28"/>
          <w:szCs w:val="28"/>
          <w:lang w:val="en-US" w:eastAsia="zh-CN"/>
        </w:rPr>
      </w:pPr>
    </w:p>
    <w:p w14:paraId="75383BB3">
      <w:pPr>
        <w:pStyle w:val="44"/>
        <w:rPr>
          <w:rFonts w:hint="default" w:ascii="Times New Roman" w:hAnsi="Times New Roman" w:cs="Times New Roman"/>
          <w:lang w:val="en-US" w:eastAsia="zh-CN"/>
        </w:rPr>
      </w:pPr>
    </w:p>
    <w:p w14:paraId="68545F6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w:t>
      </w:r>
    </w:p>
    <w:p w14:paraId="36E609F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3"/>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1.本承诺函可自行提供具有有效签字盖章的格式。</w:t>
      </w:r>
    </w:p>
    <w:p w14:paraId="132C7074">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根据《财政部关于〈中华人民共和国政府采购法实施条例〉第十九条第一款“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3755BD6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619B5633">
      <w:pPr>
        <w:rPr>
          <w:rFonts w:hint="default" w:ascii="Times New Roman" w:hAnsi="Times New Roman" w:cs="Times New Roman"/>
          <w:lang w:val="en-US" w:eastAsia="zh-CN"/>
        </w:rPr>
      </w:pPr>
      <w:r>
        <w:rPr>
          <w:rFonts w:hint="default" w:ascii="Times New Roman" w:hAnsi="Times New Roman" w:eastAsia="仿宋_GB2312" w:cs="Times New Roman"/>
          <w:sz w:val="24"/>
          <w:szCs w:val="24"/>
          <w:lang w:val="en-US" w:eastAsia="zh-CN"/>
        </w:rPr>
        <w:br w:type="page"/>
      </w:r>
    </w:p>
    <w:p w14:paraId="6AD851FD">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lang w:val="en-US" w:eastAsia="zh-CN"/>
        </w:rPr>
      </w:pPr>
      <w:bookmarkStart w:id="452" w:name="_Toc5074"/>
      <w:bookmarkStart w:id="453" w:name="_Toc13828"/>
      <w:bookmarkStart w:id="454" w:name="_Toc29440"/>
      <w:bookmarkStart w:id="455" w:name="_Toc24159"/>
      <w:bookmarkStart w:id="456" w:name="_Toc26196"/>
      <w:r>
        <w:rPr>
          <w:rFonts w:hint="default" w:ascii="Times New Roman" w:hAnsi="Times New Roman" w:eastAsia="黑体" w:cs="Times New Roman"/>
          <w:sz w:val="24"/>
          <w:szCs w:val="20"/>
          <w:lang w:val="en-US" w:eastAsia="zh-CN"/>
        </w:rPr>
        <w:t>四、报价一览表</w:t>
      </w:r>
      <w:bookmarkEnd w:id="448"/>
      <w:bookmarkEnd w:id="452"/>
      <w:bookmarkEnd w:id="453"/>
      <w:bookmarkEnd w:id="454"/>
      <w:bookmarkEnd w:id="455"/>
      <w:bookmarkEnd w:id="456"/>
    </w:p>
    <w:p w14:paraId="563A80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比选编号：</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347"/>
        <w:gridCol w:w="1378"/>
        <w:gridCol w:w="2025"/>
        <w:gridCol w:w="3609"/>
      </w:tblGrid>
      <w:tr w14:paraId="7205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43" w:type="pct"/>
            <w:tcBorders>
              <w:top w:val="single" w:color="auto" w:sz="4" w:space="0"/>
              <w:left w:val="single" w:color="auto" w:sz="4" w:space="0"/>
              <w:bottom w:val="single" w:color="auto" w:sz="4" w:space="0"/>
              <w:right w:val="single" w:color="auto" w:sz="4" w:space="0"/>
            </w:tcBorders>
            <w:vAlign w:val="center"/>
          </w:tcPr>
          <w:p w14:paraId="2089C792">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1485" w:type="pct"/>
            <w:gridSpan w:val="2"/>
            <w:tcBorders>
              <w:top w:val="single" w:color="auto" w:sz="4" w:space="0"/>
              <w:left w:val="single" w:color="auto" w:sz="4" w:space="0"/>
              <w:bottom w:val="single" w:color="auto" w:sz="4" w:space="0"/>
              <w:right w:val="single" w:color="auto" w:sz="4" w:space="0"/>
            </w:tcBorders>
            <w:vAlign w:val="center"/>
          </w:tcPr>
          <w:p w14:paraId="5D885669">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服务内容</w:t>
            </w:r>
          </w:p>
        </w:tc>
        <w:tc>
          <w:tcPr>
            <w:tcW w:w="1104" w:type="pct"/>
            <w:tcBorders>
              <w:top w:val="single" w:color="auto" w:sz="4" w:space="0"/>
              <w:left w:val="single" w:color="auto" w:sz="4" w:space="0"/>
              <w:bottom w:val="single" w:color="auto" w:sz="4" w:space="0"/>
              <w:right w:val="single" w:color="auto" w:sz="4" w:space="0"/>
            </w:tcBorders>
            <w:vAlign w:val="center"/>
          </w:tcPr>
          <w:p w14:paraId="045BBA04">
            <w:pPr>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服务时间</w:t>
            </w:r>
          </w:p>
        </w:tc>
        <w:tc>
          <w:tcPr>
            <w:tcW w:w="1966" w:type="pct"/>
            <w:tcBorders>
              <w:top w:val="single" w:color="auto" w:sz="4" w:space="0"/>
              <w:left w:val="single" w:color="auto" w:sz="4" w:space="0"/>
              <w:bottom w:val="single" w:color="auto" w:sz="4" w:space="0"/>
              <w:right w:val="single" w:color="auto" w:sz="4" w:space="0"/>
            </w:tcBorders>
            <w:vAlign w:val="center"/>
          </w:tcPr>
          <w:p w14:paraId="034513FD">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报价（万元）</w:t>
            </w:r>
          </w:p>
        </w:tc>
      </w:tr>
      <w:tr w14:paraId="7BDD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43" w:type="pct"/>
            <w:tcBorders>
              <w:top w:val="single" w:color="auto" w:sz="4" w:space="0"/>
              <w:left w:val="single" w:color="auto" w:sz="4" w:space="0"/>
              <w:bottom w:val="single" w:color="auto" w:sz="4" w:space="0"/>
              <w:right w:val="single" w:color="auto" w:sz="4" w:space="0"/>
            </w:tcBorders>
            <w:vAlign w:val="center"/>
          </w:tcPr>
          <w:p w14:paraId="42812A72">
            <w:pPr>
              <w:widowControl/>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w:t>
            </w:r>
          </w:p>
        </w:tc>
        <w:tc>
          <w:tcPr>
            <w:tcW w:w="1485" w:type="pct"/>
            <w:gridSpan w:val="2"/>
            <w:tcBorders>
              <w:top w:val="single" w:color="auto" w:sz="4" w:space="0"/>
              <w:left w:val="single" w:color="auto" w:sz="4" w:space="0"/>
              <w:bottom w:val="single" w:color="auto" w:sz="4" w:space="0"/>
              <w:right w:val="single" w:color="auto" w:sz="4" w:space="0"/>
            </w:tcBorders>
            <w:vAlign w:val="center"/>
          </w:tcPr>
          <w:p w14:paraId="2148B715">
            <w:pPr>
              <w:widowControl/>
              <w:spacing w:line="360" w:lineRule="auto"/>
              <w:jc w:val="center"/>
              <w:rPr>
                <w:rFonts w:hint="default" w:ascii="Times New Roman" w:hAnsi="Times New Roman" w:eastAsia="仿宋" w:cs="Times New Roman"/>
                <w:bCs/>
                <w:sz w:val="24"/>
                <w:szCs w:val="24"/>
              </w:rPr>
            </w:pPr>
          </w:p>
        </w:tc>
        <w:tc>
          <w:tcPr>
            <w:tcW w:w="1104" w:type="pct"/>
            <w:tcBorders>
              <w:top w:val="single" w:color="auto" w:sz="4" w:space="0"/>
              <w:left w:val="single" w:color="auto" w:sz="4" w:space="0"/>
              <w:bottom w:val="single" w:color="auto" w:sz="4" w:space="0"/>
              <w:right w:val="single" w:color="auto" w:sz="4" w:space="0"/>
            </w:tcBorders>
            <w:vAlign w:val="center"/>
          </w:tcPr>
          <w:p w14:paraId="1C5D25FF">
            <w:pPr>
              <w:spacing w:line="360" w:lineRule="auto"/>
              <w:jc w:val="center"/>
              <w:rPr>
                <w:rFonts w:hint="default" w:ascii="Times New Roman" w:hAnsi="Times New Roman" w:eastAsia="仿宋" w:cs="Times New Roman"/>
                <w:bCs/>
                <w:sz w:val="24"/>
                <w:szCs w:val="24"/>
              </w:rPr>
            </w:pPr>
          </w:p>
        </w:tc>
        <w:tc>
          <w:tcPr>
            <w:tcW w:w="1966" w:type="pct"/>
            <w:tcBorders>
              <w:top w:val="single" w:color="auto" w:sz="4" w:space="0"/>
              <w:left w:val="single" w:color="auto" w:sz="4" w:space="0"/>
              <w:bottom w:val="single" w:color="auto" w:sz="4" w:space="0"/>
              <w:right w:val="single" w:color="auto" w:sz="4" w:space="0"/>
            </w:tcBorders>
            <w:vAlign w:val="center"/>
          </w:tcPr>
          <w:p w14:paraId="4E0F4562">
            <w:pPr>
              <w:widowControl/>
              <w:spacing w:line="360" w:lineRule="auto"/>
              <w:jc w:val="center"/>
              <w:rPr>
                <w:rFonts w:hint="default" w:ascii="Times New Roman" w:hAnsi="Times New Roman" w:eastAsia="仿宋" w:cs="Times New Roman"/>
                <w:bCs/>
                <w:sz w:val="24"/>
                <w:szCs w:val="24"/>
              </w:rPr>
            </w:pPr>
          </w:p>
        </w:tc>
      </w:tr>
      <w:tr w14:paraId="727F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77" w:type="pct"/>
            <w:gridSpan w:val="2"/>
            <w:tcBorders>
              <w:top w:val="single" w:color="auto" w:sz="4" w:space="0"/>
              <w:left w:val="single" w:color="auto" w:sz="4" w:space="0"/>
              <w:bottom w:val="single" w:color="auto" w:sz="4" w:space="0"/>
              <w:right w:val="single" w:color="auto" w:sz="4" w:space="0"/>
            </w:tcBorders>
            <w:vAlign w:val="center"/>
          </w:tcPr>
          <w:p w14:paraId="345FF2B1">
            <w:pPr>
              <w:widowControl/>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报价总价</w:t>
            </w:r>
          </w:p>
        </w:tc>
        <w:tc>
          <w:tcPr>
            <w:tcW w:w="3822" w:type="pct"/>
            <w:gridSpan w:val="3"/>
            <w:tcBorders>
              <w:top w:val="single" w:color="auto" w:sz="4" w:space="0"/>
              <w:left w:val="single" w:color="auto" w:sz="4" w:space="0"/>
              <w:bottom w:val="single" w:color="auto" w:sz="4" w:space="0"/>
              <w:right w:val="single" w:color="auto" w:sz="4" w:space="0"/>
            </w:tcBorders>
            <w:vAlign w:val="center"/>
          </w:tcPr>
          <w:p w14:paraId="17763D5C">
            <w:pPr>
              <w:widowControl/>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人民币大写：（人民币小写：万元）</w:t>
            </w:r>
          </w:p>
        </w:tc>
      </w:tr>
    </w:tbl>
    <w:p w14:paraId="2E5D8AE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注：1.申请人的报价是申请人响应比选项目要求的全部工作内容的价格体现，包括申请人完成本项目所需的一切费用。</w:t>
      </w:r>
    </w:p>
    <w:p w14:paraId="01F4B3F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2.“报价一览表”应编制于比选申请文件正副本内，如有遗漏，将视为无效响应（实质性要求）。</w:t>
      </w:r>
    </w:p>
    <w:p w14:paraId="6FDAD4F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本项目不需要提供单独密封的“报价一览表”。若申请人提供有单独密封的“报价一览表”，该单独密封的“报价一览表”不作为比选会、唱标及评选的依据，但申请人在规定的递交比选申请文件截止时间前，按比选文件要求补充、修改比选申请文件中“比选一览表”内容的除外。</w:t>
      </w:r>
    </w:p>
    <w:p w14:paraId="40BF0625">
      <w:pPr>
        <w:adjustRightInd w:val="0"/>
        <w:spacing w:line="400" w:lineRule="exact"/>
        <w:ind w:firstLine="482" w:firstLineChars="200"/>
        <w:jc w:val="left"/>
        <w:rPr>
          <w:rFonts w:hint="default" w:ascii="Times New Roman" w:hAnsi="Times New Roman" w:eastAsia="仿宋" w:cs="Times New Roman"/>
          <w:b/>
          <w:sz w:val="24"/>
        </w:rPr>
      </w:pPr>
    </w:p>
    <w:p w14:paraId="0A1C3321">
      <w:pPr>
        <w:pStyle w:val="2"/>
        <w:rPr>
          <w:rFonts w:hint="default" w:ascii="Times New Roman" w:hAnsi="Times New Roman" w:cs="Times New Roman"/>
        </w:rPr>
      </w:pPr>
    </w:p>
    <w:p w14:paraId="4BC96E99">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4C030FFA">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7C3AE421">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 w:cs="Times New Roman"/>
          <w:sz w:val="24"/>
        </w:rPr>
      </w:pPr>
      <w:r>
        <w:rPr>
          <w:rFonts w:hint="default" w:ascii="Times New Roman" w:hAnsi="Times New Roman" w:eastAsia="仿宋_GB2312" w:cs="Times New Roman"/>
          <w:sz w:val="28"/>
          <w:szCs w:val="28"/>
          <w:lang w:val="en-US" w:eastAsia="zh-CN"/>
        </w:rPr>
        <w:t>日期</w:t>
      </w:r>
    </w:p>
    <w:p w14:paraId="21D48F15">
      <w:pPr>
        <w:pStyle w:val="2"/>
        <w:rPr>
          <w:rFonts w:hint="default" w:ascii="Times New Roman" w:hAnsi="Times New Roman" w:eastAsia="仿宋" w:cs="Times New Roman"/>
          <w:sz w:val="24"/>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14:paraId="785FE92A">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lang w:val="en-US" w:eastAsia="zh-CN"/>
        </w:rPr>
      </w:pPr>
      <w:bookmarkStart w:id="457" w:name="_Toc27910"/>
      <w:bookmarkStart w:id="458" w:name="_Toc8723"/>
      <w:bookmarkStart w:id="459" w:name="_Toc30523"/>
      <w:bookmarkStart w:id="460" w:name="_Toc26075"/>
      <w:bookmarkStart w:id="461" w:name="_Toc7783"/>
      <w:r>
        <w:rPr>
          <w:rFonts w:hint="default" w:ascii="Times New Roman" w:hAnsi="Times New Roman" w:eastAsia="黑体" w:cs="Times New Roman"/>
          <w:sz w:val="24"/>
          <w:szCs w:val="20"/>
          <w:lang w:val="en-US" w:eastAsia="zh-CN"/>
        </w:rPr>
        <w:t>五、</w:t>
      </w:r>
      <w:bookmarkEnd w:id="457"/>
      <w:bookmarkEnd w:id="458"/>
      <w:bookmarkEnd w:id="459"/>
      <w:bookmarkEnd w:id="460"/>
      <w:bookmarkEnd w:id="461"/>
      <w:r>
        <w:rPr>
          <w:rFonts w:hint="default" w:ascii="Times New Roman" w:hAnsi="Times New Roman" w:eastAsia="黑体" w:cs="Times New Roman"/>
          <w:sz w:val="24"/>
          <w:szCs w:val="20"/>
          <w:lang w:val="en-US" w:eastAsia="zh-CN"/>
        </w:rPr>
        <w:t>技术、服务、商务、合同条款要求偏离表</w:t>
      </w:r>
    </w:p>
    <w:p w14:paraId="2C2886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比选编号：</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4098"/>
        <w:gridCol w:w="3769"/>
      </w:tblGrid>
      <w:tr w14:paraId="1073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pct"/>
            <w:vAlign w:val="center"/>
          </w:tcPr>
          <w:p w14:paraId="046F2380">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2232" w:type="pct"/>
            <w:vAlign w:val="center"/>
          </w:tcPr>
          <w:p w14:paraId="055027DC">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比选要求</w:t>
            </w:r>
          </w:p>
        </w:tc>
        <w:tc>
          <w:tcPr>
            <w:tcW w:w="2053" w:type="pct"/>
            <w:vAlign w:val="center"/>
          </w:tcPr>
          <w:p w14:paraId="5E5E1E77">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响应内容</w:t>
            </w:r>
          </w:p>
        </w:tc>
      </w:tr>
      <w:tr w14:paraId="7327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228B8B4E">
            <w:pPr>
              <w:spacing w:line="400" w:lineRule="exact"/>
              <w:jc w:val="center"/>
              <w:rPr>
                <w:rFonts w:hint="default" w:ascii="Times New Roman" w:hAnsi="Times New Roman" w:eastAsia="仿宋" w:cs="Times New Roman"/>
                <w:sz w:val="32"/>
              </w:rPr>
            </w:pPr>
          </w:p>
        </w:tc>
        <w:tc>
          <w:tcPr>
            <w:tcW w:w="2232" w:type="pct"/>
          </w:tcPr>
          <w:p w14:paraId="194785C7">
            <w:pPr>
              <w:spacing w:line="400" w:lineRule="exact"/>
              <w:jc w:val="center"/>
              <w:rPr>
                <w:rFonts w:hint="default" w:ascii="Times New Roman" w:hAnsi="Times New Roman" w:eastAsia="仿宋" w:cs="Times New Roman"/>
                <w:sz w:val="32"/>
              </w:rPr>
            </w:pPr>
          </w:p>
        </w:tc>
        <w:tc>
          <w:tcPr>
            <w:tcW w:w="2053" w:type="pct"/>
          </w:tcPr>
          <w:p w14:paraId="2FAECA93">
            <w:pPr>
              <w:spacing w:line="400" w:lineRule="exact"/>
              <w:jc w:val="center"/>
              <w:rPr>
                <w:rFonts w:hint="default" w:ascii="Times New Roman" w:hAnsi="Times New Roman" w:eastAsia="仿宋" w:cs="Times New Roman"/>
                <w:sz w:val="32"/>
              </w:rPr>
            </w:pPr>
          </w:p>
        </w:tc>
      </w:tr>
      <w:tr w14:paraId="3382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16D0043A">
            <w:pPr>
              <w:spacing w:line="400" w:lineRule="exact"/>
              <w:jc w:val="center"/>
              <w:rPr>
                <w:rFonts w:hint="default" w:ascii="Times New Roman" w:hAnsi="Times New Roman" w:eastAsia="仿宋" w:cs="Times New Roman"/>
                <w:sz w:val="32"/>
              </w:rPr>
            </w:pPr>
          </w:p>
        </w:tc>
        <w:tc>
          <w:tcPr>
            <w:tcW w:w="2232" w:type="pct"/>
          </w:tcPr>
          <w:p w14:paraId="21E32887">
            <w:pPr>
              <w:spacing w:line="400" w:lineRule="exact"/>
              <w:jc w:val="center"/>
              <w:rPr>
                <w:rFonts w:hint="default" w:ascii="Times New Roman" w:hAnsi="Times New Roman" w:eastAsia="仿宋" w:cs="Times New Roman"/>
                <w:sz w:val="32"/>
              </w:rPr>
            </w:pPr>
          </w:p>
        </w:tc>
        <w:tc>
          <w:tcPr>
            <w:tcW w:w="2053" w:type="pct"/>
          </w:tcPr>
          <w:p w14:paraId="78C62166">
            <w:pPr>
              <w:spacing w:line="400" w:lineRule="exact"/>
              <w:jc w:val="center"/>
              <w:rPr>
                <w:rFonts w:hint="default" w:ascii="Times New Roman" w:hAnsi="Times New Roman" w:eastAsia="仿宋" w:cs="Times New Roman"/>
                <w:sz w:val="32"/>
              </w:rPr>
            </w:pPr>
          </w:p>
        </w:tc>
      </w:tr>
      <w:tr w14:paraId="7C59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02ACA98F">
            <w:pPr>
              <w:spacing w:line="400" w:lineRule="exact"/>
              <w:jc w:val="center"/>
              <w:rPr>
                <w:rFonts w:hint="default" w:ascii="Times New Roman" w:hAnsi="Times New Roman" w:eastAsia="仿宋" w:cs="Times New Roman"/>
                <w:sz w:val="32"/>
              </w:rPr>
            </w:pPr>
          </w:p>
        </w:tc>
        <w:tc>
          <w:tcPr>
            <w:tcW w:w="2232" w:type="pct"/>
          </w:tcPr>
          <w:p w14:paraId="40B3F784">
            <w:pPr>
              <w:spacing w:line="400" w:lineRule="exact"/>
              <w:jc w:val="center"/>
              <w:rPr>
                <w:rFonts w:hint="default" w:ascii="Times New Roman" w:hAnsi="Times New Roman" w:eastAsia="仿宋" w:cs="Times New Roman"/>
                <w:sz w:val="32"/>
              </w:rPr>
            </w:pPr>
          </w:p>
        </w:tc>
        <w:tc>
          <w:tcPr>
            <w:tcW w:w="2053" w:type="pct"/>
          </w:tcPr>
          <w:p w14:paraId="252C7A09">
            <w:pPr>
              <w:spacing w:line="400" w:lineRule="exact"/>
              <w:jc w:val="center"/>
              <w:rPr>
                <w:rFonts w:hint="default" w:ascii="Times New Roman" w:hAnsi="Times New Roman" w:eastAsia="仿宋" w:cs="Times New Roman"/>
                <w:sz w:val="32"/>
              </w:rPr>
            </w:pPr>
          </w:p>
        </w:tc>
      </w:tr>
      <w:tr w14:paraId="225A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6152B185">
            <w:pPr>
              <w:spacing w:line="400" w:lineRule="exact"/>
              <w:jc w:val="center"/>
              <w:rPr>
                <w:rFonts w:hint="default" w:ascii="Times New Roman" w:hAnsi="Times New Roman" w:eastAsia="仿宋" w:cs="Times New Roman"/>
                <w:sz w:val="32"/>
              </w:rPr>
            </w:pPr>
          </w:p>
        </w:tc>
        <w:tc>
          <w:tcPr>
            <w:tcW w:w="2232" w:type="pct"/>
          </w:tcPr>
          <w:p w14:paraId="0EB2C081">
            <w:pPr>
              <w:spacing w:line="400" w:lineRule="exact"/>
              <w:jc w:val="center"/>
              <w:rPr>
                <w:rFonts w:hint="default" w:ascii="Times New Roman" w:hAnsi="Times New Roman" w:eastAsia="仿宋" w:cs="Times New Roman"/>
                <w:sz w:val="32"/>
              </w:rPr>
            </w:pPr>
          </w:p>
        </w:tc>
        <w:tc>
          <w:tcPr>
            <w:tcW w:w="2053" w:type="pct"/>
          </w:tcPr>
          <w:p w14:paraId="4779E1AD">
            <w:pPr>
              <w:spacing w:line="400" w:lineRule="exact"/>
              <w:jc w:val="center"/>
              <w:rPr>
                <w:rFonts w:hint="default" w:ascii="Times New Roman" w:hAnsi="Times New Roman" w:eastAsia="仿宋" w:cs="Times New Roman"/>
                <w:sz w:val="32"/>
              </w:rPr>
            </w:pPr>
          </w:p>
        </w:tc>
      </w:tr>
    </w:tbl>
    <w:p w14:paraId="23F445E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注：1.申请人需根据比选文件第</w:t>
      </w:r>
      <w:r>
        <w:rPr>
          <w:rFonts w:hint="eastAsia" w:ascii="Times New Roman" w:eastAsia="仿宋_GB2312" w:cs="Times New Roman"/>
          <w:sz w:val="24"/>
          <w:szCs w:val="24"/>
          <w:lang w:val="en-US" w:eastAsia="zh-CN"/>
        </w:rPr>
        <w:t>四</w:t>
      </w:r>
      <w:r>
        <w:rPr>
          <w:rFonts w:hint="default" w:ascii="Times New Roman" w:hAnsi="Times New Roman" w:eastAsia="仿宋_GB2312" w:cs="Times New Roman"/>
          <w:sz w:val="24"/>
          <w:szCs w:val="24"/>
          <w:lang w:val="en-US" w:eastAsia="zh-CN"/>
        </w:rPr>
        <w:t>章商务要求据实逐条填写，不得虚假响应，虚假响应的，其比选申请文件无效并按规定追究其相关责任。</w:t>
      </w:r>
    </w:p>
    <w:p w14:paraId="29F644AD">
      <w:pPr>
        <w:spacing w:line="400" w:lineRule="exact"/>
        <w:ind w:firstLine="600" w:firstLineChars="250"/>
        <w:rPr>
          <w:rFonts w:hint="default" w:ascii="Times New Roman" w:hAnsi="Times New Roman" w:eastAsia="仿宋" w:cs="Times New Roman"/>
          <w:sz w:val="24"/>
        </w:rPr>
      </w:pPr>
    </w:p>
    <w:p w14:paraId="29C33CB5">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644D054D">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40099700">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 w:cs="Times New Roman"/>
          <w:sz w:val="24"/>
        </w:rPr>
      </w:pPr>
      <w:r>
        <w:rPr>
          <w:rFonts w:hint="default" w:ascii="Times New Roman" w:hAnsi="Times New Roman" w:eastAsia="仿宋_GB2312" w:cs="Times New Roman"/>
          <w:sz w:val="28"/>
          <w:szCs w:val="28"/>
          <w:lang w:val="en-US" w:eastAsia="zh-CN"/>
        </w:rPr>
        <w:t>日期</w:t>
      </w:r>
    </w:p>
    <w:p w14:paraId="0DE6C6E0">
      <w:pPr>
        <w:spacing w:line="400" w:lineRule="exact"/>
        <w:rPr>
          <w:rFonts w:hint="default" w:ascii="Times New Roman" w:hAnsi="Times New Roman" w:eastAsia="仿宋" w:cs="Times New Roman"/>
          <w:bCs/>
          <w:sz w:val="28"/>
          <w:szCs w:val="28"/>
        </w:rPr>
      </w:pPr>
    </w:p>
    <w:p w14:paraId="4F78EFA5">
      <w:pPr>
        <w:adjustRightInd w:val="0"/>
        <w:spacing w:line="400" w:lineRule="exact"/>
        <w:jc w:val="left"/>
        <w:rPr>
          <w:rFonts w:hint="default" w:ascii="Times New Roman" w:hAnsi="Times New Roman" w:eastAsia="仿宋" w:cs="Times New Roman"/>
          <w:sz w:val="28"/>
        </w:rPr>
        <w:sectPr>
          <w:type w:val="nextColumn"/>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14:paraId="4097C8D5">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62" w:name="_Toc18274"/>
      <w:bookmarkStart w:id="463" w:name="_Toc30667"/>
      <w:bookmarkStart w:id="464" w:name="_Toc25491"/>
      <w:bookmarkStart w:id="465" w:name="_Toc217446088"/>
      <w:bookmarkStart w:id="466" w:name="_Toc25992"/>
      <w:bookmarkStart w:id="467" w:name="_Toc2962"/>
      <w:r>
        <w:rPr>
          <w:rFonts w:hint="default" w:ascii="Times New Roman" w:hAnsi="Times New Roman" w:eastAsia="黑体" w:cs="Times New Roman"/>
          <w:sz w:val="24"/>
          <w:szCs w:val="20"/>
        </w:rPr>
        <w:t>六、</w:t>
      </w:r>
      <w:r>
        <w:rPr>
          <w:rFonts w:hint="default" w:ascii="Times New Roman" w:hAnsi="Times New Roman" w:eastAsia="黑体" w:cs="Times New Roman"/>
          <w:sz w:val="24"/>
          <w:szCs w:val="20"/>
          <w:lang w:eastAsia="zh-CN"/>
        </w:rPr>
        <w:t>申请人</w:t>
      </w:r>
      <w:r>
        <w:rPr>
          <w:rFonts w:hint="default" w:ascii="Times New Roman" w:hAnsi="Times New Roman" w:eastAsia="黑体" w:cs="Times New Roman"/>
          <w:sz w:val="24"/>
          <w:szCs w:val="20"/>
        </w:rPr>
        <w:t>基本情况表</w:t>
      </w:r>
      <w:bookmarkEnd w:id="462"/>
      <w:bookmarkEnd w:id="463"/>
      <w:bookmarkEnd w:id="464"/>
      <w:bookmarkEnd w:id="465"/>
      <w:bookmarkEnd w:id="466"/>
      <w:bookmarkEnd w:id="467"/>
    </w:p>
    <w:p w14:paraId="4F3E012F">
      <w:pPr>
        <w:autoSpaceDE w:val="0"/>
        <w:autoSpaceDN w:val="0"/>
        <w:adjustRightInd w:val="0"/>
        <w:spacing w:before="156" w:beforeLines="50" w:after="156" w:afterLines="50" w:line="400" w:lineRule="exact"/>
        <w:jc w:val="center"/>
        <w:rPr>
          <w:rFonts w:hint="default" w:ascii="Times New Roman" w:hAnsi="Times New Roman" w:eastAsia="仿宋" w:cs="Times New Roman"/>
          <w:sz w:val="20"/>
        </w:rPr>
      </w:pP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14:paraId="79ED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134BC40A">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申请人</w:t>
            </w:r>
            <w:r>
              <w:rPr>
                <w:rFonts w:hint="default" w:ascii="Times New Roman" w:hAnsi="Times New Roman" w:eastAsia="仿宋" w:cs="Times New Roman"/>
                <w:sz w:val="21"/>
                <w:szCs w:val="21"/>
              </w:rPr>
              <w:t>名称</w:t>
            </w:r>
          </w:p>
        </w:tc>
        <w:tc>
          <w:tcPr>
            <w:tcW w:w="7019" w:type="dxa"/>
            <w:gridSpan w:val="8"/>
            <w:vAlign w:val="center"/>
          </w:tcPr>
          <w:p w14:paraId="63C92BF8">
            <w:pPr>
              <w:autoSpaceDE w:val="0"/>
              <w:autoSpaceDN w:val="0"/>
              <w:adjustRightInd w:val="0"/>
              <w:spacing w:line="400" w:lineRule="exact"/>
              <w:jc w:val="center"/>
              <w:rPr>
                <w:rFonts w:hint="default" w:ascii="Times New Roman" w:hAnsi="Times New Roman" w:eastAsia="仿宋" w:cs="Times New Roman"/>
                <w:sz w:val="21"/>
                <w:szCs w:val="21"/>
              </w:rPr>
            </w:pPr>
          </w:p>
        </w:tc>
      </w:tr>
      <w:tr w14:paraId="4976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21EFF947">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注册地址</w:t>
            </w:r>
          </w:p>
        </w:tc>
        <w:tc>
          <w:tcPr>
            <w:tcW w:w="3440" w:type="dxa"/>
            <w:gridSpan w:val="4"/>
            <w:vAlign w:val="center"/>
          </w:tcPr>
          <w:p w14:paraId="27A95848">
            <w:pPr>
              <w:autoSpaceDE w:val="0"/>
              <w:autoSpaceDN w:val="0"/>
              <w:adjustRightInd w:val="0"/>
              <w:spacing w:line="400" w:lineRule="exact"/>
              <w:jc w:val="center"/>
              <w:rPr>
                <w:rFonts w:hint="default" w:ascii="Times New Roman" w:hAnsi="Times New Roman" w:eastAsia="仿宋" w:cs="Times New Roman"/>
                <w:sz w:val="21"/>
                <w:szCs w:val="21"/>
              </w:rPr>
            </w:pPr>
          </w:p>
        </w:tc>
        <w:tc>
          <w:tcPr>
            <w:tcW w:w="1325" w:type="dxa"/>
            <w:vAlign w:val="center"/>
          </w:tcPr>
          <w:p w14:paraId="55425E7C">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邮政编码</w:t>
            </w:r>
          </w:p>
        </w:tc>
        <w:tc>
          <w:tcPr>
            <w:tcW w:w="2254" w:type="dxa"/>
            <w:gridSpan w:val="3"/>
            <w:vAlign w:val="center"/>
          </w:tcPr>
          <w:p w14:paraId="1D2D2D8C">
            <w:pPr>
              <w:autoSpaceDE w:val="0"/>
              <w:autoSpaceDN w:val="0"/>
              <w:adjustRightInd w:val="0"/>
              <w:spacing w:line="400" w:lineRule="exact"/>
              <w:jc w:val="center"/>
              <w:rPr>
                <w:rFonts w:hint="default" w:ascii="Times New Roman" w:hAnsi="Times New Roman" w:eastAsia="仿宋" w:cs="Times New Roman"/>
                <w:sz w:val="21"/>
                <w:szCs w:val="21"/>
              </w:rPr>
            </w:pPr>
          </w:p>
        </w:tc>
      </w:tr>
      <w:tr w14:paraId="75AB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Merge w:val="restart"/>
            <w:vAlign w:val="center"/>
          </w:tcPr>
          <w:p w14:paraId="40E44F33">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联系方式</w:t>
            </w:r>
          </w:p>
        </w:tc>
        <w:tc>
          <w:tcPr>
            <w:tcW w:w="972" w:type="dxa"/>
            <w:vAlign w:val="center"/>
          </w:tcPr>
          <w:p w14:paraId="43FC91F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联系人</w:t>
            </w:r>
          </w:p>
        </w:tc>
        <w:tc>
          <w:tcPr>
            <w:tcW w:w="2461" w:type="dxa"/>
            <w:gridSpan w:val="2"/>
            <w:vAlign w:val="center"/>
          </w:tcPr>
          <w:p w14:paraId="0B078AF8">
            <w:pPr>
              <w:autoSpaceDE w:val="0"/>
              <w:autoSpaceDN w:val="0"/>
              <w:adjustRightInd w:val="0"/>
              <w:spacing w:line="400" w:lineRule="exact"/>
              <w:jc w:val="center"/>
              <w:rPr>
                <w:rFonts w:hint="default" w:ascii="Times New Roman" w:hAnsi="Times New Roman" w:eastAsia="仿宋" w:cs="Times New Roman"/>
                <w:sz w:val="21"/>
                <w:szCs w:val="21"/>
              </w:rPr>
            </w:pPr>
          </w:p>
        </w:tc>
        <w:tc>
          <w:tcPr>
            <w:tcW w:w="1332" w:type="dxa"/>
            <w:gridSpan w:val="2"/>
            <w:vAlign w:val="center"/>
          </w:tcPr>
          <w:p w14:paraId="37592B03">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电话</w:t>
            </w:r>
          </w:p>
        </w:tc>
        <w:tc>
          <w:tcPr>
            <w:tcW w:w="2254" w:type="dxa"/>
            <w:gridSpan w:val="3"/>
            <w:vAlign w:val="center"/>
          </w:tcPr>
          <w:p w14:paraId="7ACAD70C">
            <w:pPr>
              <w:autoSpaceDE w:val="0"/>
              <w:autoSpaceDN w:val="0"/>
              <w:adjustRightInd w:val="0"/>
              <w:spacing w:line="400" w:lineRule="exact"/>
              <w:jc w:val="center"/>
              <w:rPr>
                <w:rFonts w:hint="default" w:ascii="Times New Roman" w:hAnsi="Times New Roman" w:eastAsia="仿宋" w:cs="Times New Roman"/>
                <w:sz w:val="21"/>
                <w:szCs w:val="21"/>
              </w:rPr>
            </w:pPr>
          </w:p>
        </w:tc>
      </w:tr>
      <w:tr w14:paraId="3745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14:paraId="0A10E31C">
            <w:pPr>
              <w:autoSpaceDE w:val="0"/>
              <w:autoSpaceDN w:val="0"/>
              <w:adjustRightInd w:val="0"/>
              <w:spacing w:line="400" w:lineRule="exact"/>
              <w:jc w:val="center"/>
              <w:rPr>
                <w:rFonts w:hint="default" w:ascii="Times New Roman" w:hAnsi="Times New Roman" w:eastAsia="仿宋" w:cs="Times New Roman"/>
                <w:sz w:val="21"/>
                <w:szCs w:val="21"/>
              </w:rPr>
            </w:pPr>
          </w:p>
        </w:tc>
        <w:tc>
          <w:tcPr>
            <w:tcW w:w="972" w:type="dxa"/>
            <w:vAlign w:val="center"/>
          </w:tcPr>
          <w:p w14:paraId="34740414">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传真</w:t>
            </w:r>
          </w:p>
        </w:tc>
        <w:tc>
          <w:tcPr>
            <w:tcW w:w="2461" w:type="dxa"/>
            <w:gridSpan w:val="2"/>
            <w:vAlign w:val="center"/>
          </w:tcPr>
          <w:p w14:paraId="1DB7CD72">
            <w:pPr>
              <w:autoSpaceDE w:val="0"/>
              <w:autoSpaceDN w:val="0"/>
              <w:adjustRightInd w:val="0"/>
              <w:spacing w:line="400" w:lineRule="exact"/>
              <w:jc w:val="center"/>
              <w:rPr>
                <w:rFonts w:hint="default" w:ascii="Times New Roman" w:hAnsi="Times New Roman" w:eastAsia="仿宋" w:cs="Times New Roman"/>
                <w:sz w:val="21"/>
                <w:szCs w:val="21"/>
              </w:rPr>
            </w:pPr>
          </w:p>
        </w:tc>
        <w:tc>
          <w:tcPr>
            <w:tcW w:w="1332" w:type="dxa"/>
            <w:gridSpan w:val="2"/>
            <w:vAlign w:val="center"/>
          </w:tcPr>
          <w:p w14:paraId="2AB55468">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网址</w:t>
            </w:r>
          </w:p>
        </w:tc>
        <w:tc>
          <w:tcPr>
            <w:tcW w:w="2254" w:type="dxa"/>
            <w:gridSpan w:val="3"/>
            <w:vAlign w:val="center"/>
          </w:tcPr>
          <w:p w14:paraId="65D6F11C">
            <w:pPr>
              <w:autoSpaceDE w:val="0"/>
              <w:autoSpaceDN w:val="0"/>
              <w:adjustRightInd w:val="0"/>
              <w:spacing w:line="400" w:lineRule="exact"/>
              <w:jc w:val="center"/>
              <w:rPr>
                <w:rFonts w:hint="default" w:ascii="Times New Roman" w:hAnsi="Times New Roman" w:eastAsia="仿宋" w:cs="Times New Roman"/>
                <w:sz w:val="21"/>
                <w:szCs w:val="21"/>
              </w:rPr>
            </w:pPr>
          </w:p>
        </w:tc>
      </w:tr>
      <w:tr w14:paraId="37A9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61D11427">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组织结构</w:t>
            </w:r>
          </w:p>
        </w:tc>
        <w:tc>
          <w:tcPr>
            <w:tcW w:w="7019" w:type="dxa"/>
            <w:gridSpan w:val="8"/>
            <w:vAlign w:val="center"/>
          </w:tcPr>
          <w:p w14:paraId="7DF12BB4">
            <w:pPr>
              <w:autoSpaceDE w:val="0"/>
              <w:autoSpaceDN w:val="0"/>
              <w:adjustRightInd w:val="0"/>
              <w:spacing w:line="400" w:lineRule="exact"/>
              <w:jc w:val="center"/>
              <w:rPr>
                <w:rFonts w:hint="default" w:ascii="Times New Roman" w:hAnsi="Times New Roman" w:eastAsia="仿宋" w:cs="Times New Roman"/>
                <w:sz w:val="21"/>
                <w:szCs w:val="21"/>
              </w:rPr>
            </w:pPr>
          </w:p>
        </w:tc>
      </w:tr>
      <w:tr w14:paraId="5A25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14:paraId="4C949B6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法定代表人</w:t>
            </w:r>
          </w:p>
        </w:tc>
        <w:tc>
          <w:tcPr>
            <w:tcW w:w="972" w:type="dxa"/>
            <w:vAlign w:val="center"/>
          </w:tcPr>
          <w:p w14:paraId="6882D490">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姓名</w:t>
            </w:r>
          </w:p>
        </w:tc>
        <w:tc>
          <w:tcPr>
            <w:tcW w:w="1206" w:type="dxa"/>
            <w:vAlign w:val="center"/>
          </w:tcPr>
          <w:p w14:paraId="03421A20">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Align w:val="center"/>
          </w:tcPr>
          <w:p w14:paraId="11D30EF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技术职称</w:t>
            </w:r>
          </w:p>
        </w:tc>
        <w:tc>
          <w:tcPr>
            <w:tcW w:w="1332" w:type="dxa"/>
            <w:gridSpan w:val="2"/>
            <w:vAlign w:val="center"/>
          </w:tcPr>
          <w:p w14:paraId="44DCB79E">
            <w:pPr>
              <w:autoSpaceDE w:val="0"/>
              <w:autoSpaceDN w:val="0"/>
              <w:adjustRightInd w:val="0"/>
              <w:spacing w:line="400" w:lineRule="exact"/>
              <w:jc w:val="center"/>
              <w:rPr>
                <w:rFonts w:hint="default" w:ascii="Times New Roman" w:hAnsi="Times New Roman" w:eastAsia="仿宋" w:cs="Times New Roman"/>
                <w:sz w:val="21"/>
                <w:szCs w:val="21"/>
              </w:rPr>
            </w:pPr>
          </w:p>
        </w:tc>
        <w:tc>
          <w:tcPr>
            <w:tcW w:w="1178" w:type="dxa"/>
            <w:gridSpan w:val="2"/>
            <w:vAlign w:val="center"/>
          </w:tcPr>
          <w:p w14:paraId="14B4C085">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电话</w:t>
            </w:r>
          </w:p>
        </w:tc>
        <w:tc>
          <w:tcPr>
            <w:tcW w:w="1076" w:type="dxa"/>
            <w:vAlign w:val="center"/>
          </w:tcPr>
          <w:p w14:paraId="68C6FED6">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12CB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14:paraId="36ADB5B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技术负责人</w:t>
            </w:r>
          </w:p>
        </w:tc>
        <w:tc>
          <w:tcPr>
            <w:tcW w:w="972" w:type="dxa"/>
            <w:vAlign w:val="center"/>
          </w:tcPr>
          <w:p w14:paraId="0D91B2BD">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姓名</w:t>
            </w:r>
          </w:p>
        </w:tc>
        <w:tc>
          <w:tcPr>
            <w:tcW w:w="1206" w:type="dxa"/>
            <w:vAlign w:val="center"/>
          </w:tcPr>
          <w:p w14:paraId="6E9DC5CA">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Align w:val="center"/>
          </w:tcPr>
          <w:p w14:paraId="31587128">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技术职称</w:t>
            </w:r>
          </w:p>
        </w:tc>
        <w:tc>
          <w:tcPr>
            <w:tcW w:w="1332" w:type="dxa"/>
            <w:gridSpan w:val="2"/>
            <w:vAlign w:val="center"/>
          </w:tcPr>
          <w:p w14:paraId="38F7A919">
            <w:pPr>
              <w:autoSpaceDE w:val="0"/>
              <w:autoSpaceDN w:val="0"/>
              <w:adjustRightInd w:val="0"/>
              <w:spacing w:line="400" w:lineRule="exact"/>
              <w:jc w:val="center"/>
              <w:rPr>
                <w:rFonts w:hint="default" w:ascii="Times New Roman" w:hAnsi="Times New Roman" w:eastAsia="仿宋" w:cs="Times New Roman"/>
                <w:sz w:val="21"/>
                <w:szCs w:val="21"/>
              </w:rPr>
            </w:pPr>
          </w:p>
        </w:tc>
        <w:tc>
          <w:tcPr>
            <w:tcW w:w="1178" w:type="dxa"/>
            <w:gridSpan w:val="2"/>
            <w:vAlign w:val="center"/>
          </w:tcPr>
          <w:p w14:paraId="4E91C5F6">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电话</w:t>
            </w:r>
          </w:p>
        </w:tc>
        <w:tc>
          <w:tcPr>
            <w:tcW w:w="1076" w:type="dxa"/>
            <w:vAlign w:val="center"/>
          </w:tcPr>
          <w:p w14:paraId="346662BF">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5A93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2D4DED84">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成立时间</w:t>
            </w:r>
          </w:p>
        </w:tc>
        <w:tc>
          <w:tcPr>
            <w:tcW w:w="2178" w:type="dxa"/>
            <w:gridSpan w:val="2"/>
            <w:vAlign w:val="center"/>
          </w:tcPr>
          <w:p w14:paraId="79EBFF2B">
            <w:pPr>
              <w:autoSpaceDE w:val="0"/>
              <w:autoSpaceDN w:val="0"/>
              <w:adjustRightInd w:val="0"/>
              <w:spacing w:line="400" w:lineRule="exact"/>
              <w:jc w:val="center"/>
              <w:rPr>
                <w:rFonts w:hint="default" w:ascii="Times New Roman" w:hAnsi="Times New Roman" w:eastAsia="仿宋" w:cs="Times New Roman"/>
                <w:sz w:val="21"/>
                <w:szCs w:val="21"/>
              </w:rPr>
            </w:pPr>
          </w:p>
        </w:tc>
        <w:tc>
          <w:tcPr>
            <w:tcW w:w="4841" w:type="dxa"/>
            <w:gridSpan w:val="6"/>
            <w:vAlign w:val="center"/>
          </w:tcPr>
          <w:p w14:paraId="10D9C6B1">
            <w:pPr>
              <w:autoSpaceDE w:val="0"/>
              <w:autoSpaceDN w:val="0"/>
              <w:adjustRightInd w:val="0"/>
              <w:spacing w:line="400" w:lineRule="exact"/>
              <w:ind w:firstLine="1470" w:firstLineChars="7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员工总人数：</w:t>
            </w:r>
          </w:p>
        </w:tc>
      </w:tr>
      <w:tr w14:paraId="6AB9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24F031E7">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企业资质等级</w:t>
            </w:r>
          </w:p>
        </w:tc>
        <w:tc>
          <w:tcPr>
            <w:tcW w:w="2178" w:type="dxa"/>
            <w:gridSpan w:val="2"/>
            <w:vAlign w:val="center"/>
          </w:tcPr>
          <w:p w14:paraId="1040F6C5">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restart"/>
            <w:vAlign w:val="center"/>
          </w:tcPr>
          <w:p w14:paraId="2E22717D">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其中</w:t>
            </w:r>
          </w:p>
        </w:tc>
        <w:tc>
          <w:tcPr>
            <w:tcW w:w="1493" w:type="dxa"/>
            <w:gridSpan w:val="3"/>
            <w:vAlign w:val="center"/>
          </w:tcPr>
          <w:p w14:paraId="6B77759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项目经理</w:t>
            </w:r>
          </w:p>
        </w:tc>
        <w:tc>
          <w:tcPr>
            <w:tcW w:w="2093" w:type="dxa"/>
            <w:gridSpan w:val="2"/>
            <w:vAlign w:val="center"/>
          </w:tcPr>
          <w:p w14:paraId="2782875A">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637D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6667A12F">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营业执照号</w:t>
            </w:r>
          </w:p>
        </w:tc>
        <w:tc>
          <w:tcPr>
            <w:tcW w:w="2178" w:type="dxa"/>
            <w:gridSpan w:val="2"/>
            <w:vAlign w:val="center"/>
          </w:tcPr>
          <w:p w14:paraId="07B878C1">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continue"/>
            <w:vAlign w:val="center"/>
          </w:tcPr>
          <w:p w14:paraId="383FEE00">
            <w:pPr>
              <w:autoSpaceDE w:val="0"/>
              <w:autoSpaceDN w:val="0"/>
              <w:adjustRightInd w:val="0"/>
              <w:spacing w:line="400" w:lineRule="exact"/>
              <w:jc w:val="center"/>
              <w:rPr>
                <w:rFonts w:hint="default" w:ascii="Times New Roman" w:hAnsi="Times New Roman" w:eastAsia="仿宋" w:cs="Times New Roman"/>
                <w:sz w:val="21"/>
                <w:szCs w:val="21"/>
              </w:rPr>
            </w:pPr>
          </w:p>
        </w:tc>
        <w:tc>
          <w:tcPr>
            <w:tcW w:w="1493" w:type="dxa"/>
            <w:gridSpan w:val="3"/>
            <w:vAlign w:val="center"/>
          </w:tcPr>
          <w:p w14:paraId="21BD08F6">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高级职称人员</w:t>
            </w:r>
          </w:p>
        </w:tc>
        <w:tc>
          <w:tcPr>
            <w:tcW w:w="2093" w:type="dxa"/>
            <w:gridSpan w:val="2"/>
            <w:vAlign w:val="center"/>
          </w:tcPr>
          <w:p w14:paraId="1FD7C558">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7440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5FBCCD16">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注册资金</w:t>
            </w:r>
          </w:p>
        </w:tc>
        <w:tc>
          <w:tcPr>
            <w:tcW w:w="2178" w:type="dxa"/>
            <w:gridSpan w:val="2"/>
            <w:vAlign w:val="center"/>
          </w:tcPr>
          <w:p w14:paraId="1204E9AD">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continue"/>
            <w:vAlign w:val="center"/>
          </w:tcPr>
          <w:p w14:paraId="5CF5A43F">
            <w:pPr>
              <w:autoSpaceDE w:val="0"/>
              <w:autoSpaceDN w:val="0"/>
              <w:adjustRightInd w:val="0"/>
              <w:spacing w:line="400" w:lineRule="exact"/>
              <w:jc w:val="center"/>
              <w:rPr>
                <w:rFonts w:hint="default" w:ascii="Times New Roman" w:hAnsi="Times New Roman" w:eastAsia="仿宋" w:cs="Times New Roman"/>
                <w:sz w:val="21"/>
                <w:szCs w:val="21"/>
              </w:rPr>
            </w:pPr>
          </w:p>
        </w:tc>
        <w:tc>
          <w:tcPr>
            <w:tcW w:w="1493" w:type="dxa"/>
            <w:gridSpan w:val="3"/>
            <w:vAlign w:val="center"/>
          </w:tcPr>
          <w:p w14:paraId="49187D3A">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中级职称人员</w:t>
            </w:r>
          </w:p>
        </w:tc>
        <w:tc>
          <w:tcPr>
            <w:tcW w:w="2093" w:type="dxa"/>
            <w:gridSpan w:val="2"/>
            <w:vAlign w:val="center"/>
          </w:tcPr>
          <w:p w14:paraId="7927FA7F">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6875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49D41EDE">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开户银行</w:t>
            </w:r>
          </w:p>
        </w:tc>
        <w:tc>
          <w:tcPr>
            <w:tcW w:w="2178" w:type="dxa"/>
            <w:gridSpan w:val="2"/>
            <w:vAlign w:val="center"/>
          </w:tcPr>
          <w:p w14:paraId="64B4DEA2">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continue"/>
            <w:vAlign w:val="center"/>
          </w:tcPr>
          <w:p w14:paraId="216C2C0D">
            <w:pPr>
              <w:autoSpaceDE w:val="0"/>
              <w:autoSpaceDN w:val="0"/>
              <w:adjustRightInd w:val="0"/>
              <w:spacing w:line="400" w:lineRule="exact"/>
              <w:jc w:val="center"/>
              <w:rPr>
                <w:rFonts w:hint="default" w:ascii="Times New Roman" w:hAnsi="Times New Roman" w:eastAsia="仿宋" w:cs="Times New Roman"/>
                <w:sz w:val="21"/>
                <w:szCs w:val="21"/>
              </w:rPr>
            </w:pPr>
          </w:p>
        </w:tc>
        <w:tc>
          <w:tcPr>
            <w:tcW w:w="1493" w:type="dxa"/>
            <w:gridSpan w:val="3"/>
            <w:vAlign w:val="center"/>
          </w:tcPr>
          <w:p w14:paraId="487D0F19">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初级职称人员</w:t>
            </w:r>
          </w:p>
        </w:tc>
        <w:tc>
          <w:tcPr>
            <w:tcW w:w="2093" w:type="dxa"/>
            <w:gridSpan w:val="2"/>
            <w:vAlign w:val="center"/>
          </w:tcPr>
          <w:p w14:paraId="76C3038E">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273E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3F520F34">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账号</w:t>
            </w:r>
          </w:p>
        </w:tc>
        <w:tc>
          <w:tcPr>
            <w:tcW w:w="2178" w:type="dxa"/>
            <w:gridSpan w:val="2"/>
            <w:vAlign w:val="center"/>
          </w:tcPr>
          <w:p w14:paraId="50D568E3">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continue"/>
            <w:vAlign w:val="center"/>
          </w:tcPr>
          <w:p w14:paraId="0EF7FE16">
            <w:pPr>
              <w:autoSpaceDE w:val="0"/>
              <w:autoSpaceDN w:val="0"/>
              <w:adjustRightInd w:val="0"/>
              <w:spacing w:line="400" w:lineRule="exact"/>
              <w:jc w:val="center"/>
              <w:rPr>
                <w:rFonts w:hint="default" w:ascii="Times New Roman" w:hAnsi="Times New Roman" w:eastAsia="仿宋" w:cs="Times New Roman"/>
                <w:sz w:val="21"/>
                <w:szCs w:val="21"/>
              </w:rPr>
            </w:pPr>
          </w:p>
        </w:tc>
        <w:tc>
          <w:tcPr>
            <w:tcW w:w="1493" w:type="dxa"/>
            <w:gridSpan w:val="3"/>
            <w:vAlign w:val="center"/>
          </w:tcPr>
          <w:p w14:paraId="37171FEF">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技工</w:t>
            </w:r>
          </w:p>
        </w:tc>
        <w:tc>
          <w:tcPr>
            <w:tcW w:w="2093" w:type="dxa"/>
            <w:gridSpan w:val="2"/>
            <w:vAlign w:val="center"/>
          </w:tcPr>
          <w:p w14:paraId="287033FA">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5170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14:paraId="60A610A2">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经营范围</w:t>
            </w:r>
          </w:p>
        </w:tc>
        <w:tc>
          <w:tcPr>
            <w:tcW w:w="7019" w:type="dxa"/>
            <w:gridSpan w:val="8"/>
            <w:vAlign w:val="center"/>
          </w:tcPr>
          <w:p w14:paraId="46DB02A4">
            <w:pPr>
              <w:autoSpaceDE w:val="0"/>
              <w:autoSpaceDN w:val="0"/>
              <w:adjustRightInd w:val="0"/>
              <w:spacing w:line="400" w:lineRule="exact"/>
              <w:rPr>
                <w:rFonts w:hint="default" w:ascii="Times New Roman" w:hAnsi="Times New Roman" w:eastAsia="仿宋" w:cs="Times New Roman"/>
                <w:b/>
                <w:bCs/>
                <w:sz w:val="21"/>
                <w:szCs w:val="21"/>
              </w:rPr>
            </w:pPr>
          </w:p>
        </w:tc>
      </w:tr>
      <w:tr w14:paraId="3038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14:paraId="087B8B8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备注</w:t>
            </w:r>
          </w:p>
        </w:tc>
        <w:tc>
          <w:tcPr>
            <w:tcW w:w="7019" w:type="dxa"/>
            <w:gridSpan w:val="8"/>
          </w:tcPr>
          <w:p w14:paraId="1DB15801">
            <w:pPr>
              <w:autoSpaceDE w:val="0"/>
              <w:autoSpaceDN w:val="0"/>
              <w:adjustRightInd w:val="0"/>
              <w:spacing w:line="400" w:lineRule="exact"/>
              <w:jc w:val="left"/>
              <w:rPr>
                <w:rFonts w:hint="default" w:ascii="Times New Roman" w:hAnsi="Times New Roman" w:eastAsia="仿宋" w:cs="Times New Roman"/>
                <w:sz w:val="21"/>
                <w:szCs w:val="21"/>
              </w:rPr>
            </w:pPr>
          </w:p>
        </w:tc>
      </w:tr>
    </w:tbl>
    <w:p w14:paraId="4081A1AC">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p>
    <w:p w14:paraId="19FF2ACF">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613892F4">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4153C690">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日期：</w:t>
      </w:r>
    </w:p>
    <w:p w14:paraId="4E5E43DB">
      <w:pPr>
        <w:spacing w:line="400" w:lineRule="exact"/>
        <w:rPr>
          <w:rFonts w:hint="default" w:ascii="Times New Roman" w:hAnsi="Times New Roman" w:eastAsia="仿宋" w:cs="Times New Roman"/>
        </w:rPr>
      </w:pPr>
    </w:p>
    <w:p w14:paraId="150FF3C7">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68" w:name="_Toc26013"/>
      <w:bookmarkStart w:id="469" w:name="_Toc22893"/>
      <w:bookmarkStart w:id="470" w:name="_Toc11174"/>
      <w:bookmarkStart w:id="471" w:name="_Toc31681"/>
      <w:bookmarkStart w:id="472" w:name="_Toc24322"/>
      <w:bookmarkStart w:id="473" w:name="_Toc217446089"/>
      <w:r>
        <w:rPr>
          <w:rFonts w:hint="default" w:ascii="Times New Roman" w:hAnsi="Times New Roman" w:eastAsia="黑体" w:cs="Times New Roman"/>
          <w:sz w:val="24"/>
          <w:szCs w:val="20"/>
        </w:rPr>
        <w:t>七、</w:t>
      </w:r>
      <w:r>
        <w:rPr>
          <w:rFonts w:hint="default" w:ascii="Times New Roman" w:hAnsi="Times New Roman" w:eastAsia="黑体" w:cs="Times New Roman"/>
          <w:sz w:val="24"/>
          <w:szCs w:val="20"/>
          <w:lang w:eastAsia="zh-CN"/>
        </w:rPr>
        <w:t>申请人</w:t>
      </w:r>
      <w:r>
        <w:rPr>
          <w:rFonts w:hint="default" w:ascii="Times New Roman" w:hAnsi="Times New Roman" w:eastAsia="黑体" w:cs="Times New Roman"/>
          <w:sz w:val="24"/>
          <w:szCs w:val="20"/>
        </w:rPr>
        <w:t>类似项目业绩一览表</w:t>
      </w:r>
      <w:bookmarkEnd w:id="468"/>
      <w:bookmarkEnd w:id="469"/>
      <w:bookmarkEnd w:id="470"/>
      <w:bookmarkEnd w:id="471"/>
      <w:bookmarkEnd w:id="472"/>
      <w:bookmarkEnd w:id="473"/>
    </w:p>
    <w:tbl>
      <w:tblPr>
        <w:tblStyle w:val="34"/>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27EF14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26E97195">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年份</w:t>
            </w:r>
          </w:p>
        </w:tc>
        <w:tc>
          <w:tcPr>
            <w:tcW w:w="1681" w:type="dxa"/>
            <w:vAlign w:val="center"/>
          </w:tcPr>
          <w:p w14:paraId="62D988CB">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用户名称</w:t>
            </w:r>
          </w:p>
        </w:tc>
        <w:tc>
          <w:tcPr>
            <w:tcW w:w="1541" w:type="dxa"/>
            <w:vAlign w:val="center"/>
          </w:tcPr>
          <w:p w14:paraId="48D8B706">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项目名称</w:t>
            </w:r>
          </w:p>
        </w:tc>
        <w:tc>
          <w:tcPr>
            <w:tcW w:w="1519" w:type="dxa"/>
            <w:vAlign w:val="center"/>
          </w:tcPr>
          <w:p w14:paraId="192841E5">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完成时间</w:t>
            </w:r>
          </w:p>
        </w:tc>
        <w:tc>
          <w:tcPr>
            <w:tcW w:w="1559" w:type="dxa"/>
            <w:vAlign w:val="center"/>
          </w:tcPr>
          <w:p w14:paraId="4D774DF4">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合同金额</w:t>
            </w:r>
          </w:p>
        </w:tc>
        <w:tc>
          <w:tcPr>
            <w:tcW w:w="1272" w:type="dxa"/>
            <w:tcBorders>
              <w:left w:val="single" w:color="auto" w:sz="4" w:space="0"/>
            </w:tcBorders>
            <w:vAlign w:val="center"/>
          </w:tcPr>
          <w:p w14:paraId="256EBF28">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备注</w:t>
            </w:r>
          </w:p>
        </w:tc>
      </w:tr>
      <w:tr w14:paraId="651B05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5490BCC">
            <w:pPr>
              <w:spacing w:line="400" w:lineRule="exact"/>
              <w:jc w:val="center"/>
              <w:rPr>
                <w:rFonts w:hint="default" w:ascii="Times New Roman" w:hAnsi="Times New Roman" w:eastAsia="仿宋" w:cs="Times New Roman"/>
              </w:rPr>
            </w:pPr>
          </w:p>
        </w:tc>
        <w:tc>
          <w:tcPr>
            <w:tcW w:w="1681" w:type="dxa"/>
            <w:vAlign w:val="center"/>
          </w:tcPr>
          <w:p w14:paraId="1778EC12">
            <w:pPr>
              <w:spacing w:line="400" w:lineRule="exact"/>
              <w:jc w:val="center"/>
              <w:rPr>
                <w:rFonts w:hint="default" w:ascii="Times New Roman" w:hAnsi="Times New Roman" w:eastAsia="仿宋" w:cs="Times New Roman"/>
              </w:rPr>
            </w:pPr>
          </w:p>
        </w:tc>
        <w:tc>
          <w:tcPr>
            <w:tcW w:w="1541" w:type="dxa"/>
            <w:vAlign w:val="center"/>
          </w:tcPr>
          <w:p w14:paraId="2F5238CE">
            <w:pPr>
              <w:spacing w:line="400" w:lineRule="exact"/>
              <w:jc w:val="center"/>
              <w:rPr>
                <w:rFonts w:hint="default" w:ascii="Times New Roman" w:hAnsi="Times New Roman" w:eastAsia="仿宋" w:cs="Times New Roman"/>
              </w:rPr>
            </w:pPr>
          </w:p>
        </w:tc>
        <w:tc>
          <w:tcPr>
            <w:tcW w:w="1519" w:type="dxa"/>
            <w:vAlign w:val="center"/>
          </w:tcPr>
          <w:p w14:paraId="5EA87F20">
            <w:pPr>
              <w:spacing w:line="400" w:lineRule="exact"/>
              <w:jc w:val="center"/>
              <w:rPr>
                <w:rFonts w:hint="default" w:ascii="Times New Roman" w:hAnsi="Times New Roman" w:eastAsia="仿宋" w:cs="Times New Roman"/>
              </w:rPr>
            </w:pPr>
          </w:p>
        </w:tc>
        <w:tc>
          <w:tcPr>
            <w:tcW w:w="1559" w:type="dxa"/>
            <w:vAlign w:val="center"/>
          </w:tcPr>
          <w:p w14:paraId="60575DF7">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177E3CBE">
            <w:pPr>
              <w:spacing w:line="400" w:lineRule="exact"/>
              <w:jc w:val="center"/>
              <w:rPr>
                <w:rFonts w:hint="default" w:ascii="Times New Roman" w:hAnsi="Times New Roman" w:eastAsia="仿宋" w:cs="Times New Roman"/>
              </w:rPr>
            </w:pPr>
          </w:p>
        </w:tc>
      </w:tr>
      <w:tr w14:paraId="3F3121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AE63F9B">
            <w:pPr>
              <w:spacing w:line="400" w:lineRule="exact"/>
              <w:jc w:val="center"/>
              <w:rPr>
                <w:rFonts w:hint="default" w:ascii="Times New Roman" w:hAnsi="Times New Roman" w:eastAsia="仿宋" w:cs="Times New Roman"/>
              </w:rPr>
            </w:pPr>
          </w:p>
        </w:tc>
        <w:tc>
          <w:tcPr>
            <w:tcW w:w="1681" w:type="dxa"/>
            <w:vAlign w:val="center"/>
          </w:tcPr>
          <w:p w14:paraId="17AE441B">
            <w:pPr>
              <w:spacing w:line="400" w:lineRule="exact"/>
              <w:jc w:val="center"/>
              <w:rPr>
                <w:rFonts w:hint="default" w:ascii="Times New Roman" w:hAnsi="Times New Roman" w:eastAsia="仿宋" w:cs="Times New Roman"/>
              </w:rPr>
            </w:pPr>
          </w:p>
        </w:tc>
        <w:tc>
          <w:tcPr>
            <w:tcW w:w="1541" w:type="dxa"/>
            <w:vAlign w:val="center"/>
          </w:tcPr>
          <w:p w14:paraId="01945BDD">
            <w:pPr>
              <w:spacing w:line="400" w:lineRule="exact"/>
              <w:jc w:val="center"/>
              <w:rPr>
                <w:rFonts w:hint="default" w:ascii="Times New Roman" w:hAnsi="Times New Roman" w:eastAsia="仿宋" w:cs="Times New Roman"/>
              </w:rPr>
            </w:pPr>
          </w:p>
        </w:tc>
        <w:tc>
          <w:tcPr>
            <w:tcW w:w="1519" w:type="dxa"/>
            <w:vAlign w:val="center"/>
          </w:tcPr>
          <w:p w14:paraId="56FB00E1">
            <w:pPr>
              <w:spacing w:line="400" w:lineRule="exact"/>
              <w:jc w:val="center"/>
              <w:rPr>
                <w:rFonts w:hint="default" w:ascii="Times New Roman" w:hAnsi="Times New Roman" w:eastAsia="仿宋" w:cs="Times New Roman"/>
              </w:rPr>
            </w:pPr>
          </w:p>
        </w:tc>
        <w:tc>
          <w:tcPr>
            <w:tcW w:w="1559" w:type="dxa"/>
            <w:vAlign w:val="center"/>
          </w:tcPr>
          <w:p w14:paraId="5453A789">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0035C7BF">
            <w:pPr>
              <w:spacing w:line="400" w:lineRule="exact"/>
              <w:jc w:val="center"/>
              <w:rPr>
                <w:rFonts w:hint="default" w:ascii="Times New Roman" w:hAnsi="Times New Roman" w:eastAsia="仿宋" w:cs="Times New Roman"/>
              </w:rPr>
            </w:pPr>
          </w:p>
        </w:tc>
      </w:tr>
      <w:tr w14:paraId="58D8DD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D887D5C">
            <w:pPr>
              <w:spacing w:line="400" w:lineRule="exact"/>
              <w:jc w:val="center"/>
              <w:rPr>
                <w:rFonts w:hint="default" w:ascii="Times New Roman" w:hAnsi="Times New Roman" w:eastAsia="仿宋" w:cs="Times New Roman"/>
              </w:rPr>
            </w:pPr>
          </w:p>
        </w:tc>
        <w:tc>
          <w:tcPr>
            <w:tcW w:w="1681" w:type="dxa"/>
            <w:vAlign w:val="center"/>
          </w:tcPr>
          <w:p w14:paraId="2813D480">
            <w:pPr>
              <w:spacing w:line="400" w:lineRule="exact"/>
              <w:jc w:val="center"/>
              <w:rPr>
                <w:rFonts w:hint="default" w:ascii="Times New Roman" w:hAnsi="Times New Roman" w:eastAsia="仿宋" w:cs="Times New Roman"/>
              </w:rPr>
            </w:pPr>
          </w:p>
        </w:tc>
        <w:tc>
          <w:tcPr>
            <w:tcW w:w="1541" w:type="dxa"/>
            <w:vAlign w:val="center"/>
          </w:tcPr>
          <w:p w14:paraId="2DD21C20">
            <w:pPr>
              <w:spacing w:line="400" w:lineRule="exact"/>
              <w:jc w:val="center"/>
              <w:rPr>
                <w:rFonts w:hint="default" w:ascii="Times New Roman" w:hAnsi="Times New Roman" w:eastAsia="仿宋" w:cs="Times New Roman"/>
              </w:rPr>
            </w:pPr>
          </w:p>
        </w:tc>
        <w:tc>
          <w:tcPr>
            <w:tcW w:w="1519" w:type="dxa"/>
            <w:vAlign w:val="center"/>
          </w:tcPr>
          <w:p w14:paraId="572744F6">
            <w:pPr>
              <w:spacing w:line="400" w:lineRule="exact"/>
              <w:jc w:val="center"/>
              <w:rPr>
                <w:rFonts w:hint="default" w:ascii="Times New Roman" w:hAnsi="Times New Roman" w:eastAsia="仿宋" w:cs="Times New Roman"/>
              </w:rPr>
            </w:pPr>
          </w:p>
        </w:tc>
        <w:tc>
          <w:tcPr>
            <w:tcW w:w="1559" w:type="dxa"/>
            <w:vAlign w:val="center"/>
          </w:tcPr>
          <w:p w14:paraId="2B28C387">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1AAB1209">
            <w:pPr>
              <w:spacing w:line="400" w:lineRule="exact"/>
              <w:jc w:val="center"/>
              <w:rPr>
                <w:rFonts w:hint="default" w:ascii="Times New Roman" w:hAnsi="Times New Roman" w:eastAsia="仿宋" w:cs="Times New Roman"/>
              </w:rPr>
            </w:pPr>
          </w:p>
        </w:tc>
      </w:tr>
      <w:tr w14:paraId="5E211F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CA30086">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5284E235">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10AC4A13">
            <w:pPr>
              <w:spacing w:line="400" w:lineRule="exact"/>
              <w:jc w:val="center"/>
              <w:rPr>
                <w:rFonts w:hint="default" w:ascii="Times New Roman" w:hAnsi="Times New Roman" w:eastAsia="仿宋" w:cs="Times New Roman"/>
              </w:rPr>
            </w:pPr>
          </w:p>
        </w:tc>
        <w:tc>
          <w:tcPr>
            <w:tcW w:w="1519" w:type="dxa"/>
            <w:vAlign w:val="center"/>
          </w:tcPr>
          <w:p w14:paraId="45494EDD">
            <w:pPr>
              <w:spacing w:line="400" w:lineRule="exact"/>
              <w:jc w:val="center"/>
              <w:rPr>
                <w:rFonts w:hint="default" w:ascii="Times New Roman" w:hAnsi="Times New Roman" w:eastAsia="仿宋" w:cs="Times New Roman"/>
              </w:rPr>
            </w:pPr>
          </w:p>
        </w:tc>
        <w:tc>
          <w:tcPr>
            <w:tcW w:w="1559" w:type="dxa"/>
            <w:vAlign w:val="center"/>
          </w:tcPr>
          <w:p w14:paraId="55C61AA5">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5BC8A228">
            <w:pPr>
              <w:spacing w:line="400" w:lineRule="exact"/>
              <w:jc w:val="center"/>
              <w:rPr>
                <w:rFonts w:hint="default" w:ascii="Times New Roman" w:hAnsi="Times New Roman" w:eastAsia="仿宋" w:cs="Times New Roman"/>
              </w:rPr>
            </w:pPr>
          </w:p>
        </w:tc>
      </w:tr>
      <w:tr w14:paraId="104F36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1160379">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57FCC7FF">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3B6917F2">
            <w:pPr>
              <w:spacing w:line="400" w:lineRule="exact"/>
              <w:jc w:val="center"/>
              <w:rPr>
                <w:rFonts w:hint="default" w:ascii="Times New Roman" w:hAnsi="Times New Roman" w:eastAsia="仿宋" w:cs="Times New Roman"/>
              </w:rPr>
            </w:pPr>
          </w:p>
        </w:tc>
        <w:tc>
          <w:tcPr>
            <w:tcW w:w="1519" w:type="dxa"/>
            <w:vAlign w:val="center"/>
          </w:tcPr>
          <w:p w14:paraId="39CEBA83">
            <w:pPr>
              <w:spacing w:line="400" w:lineRule="exact"/>
              <w:jc w:val="center"/>
              <w:rPr>
                <w:rFonts w:hint="default" w:ascii="Times New Roman" w:hAnsi="Times New Roman" w:eastAsia="仿宋" w:cs="Times New Roman"/>
              </w:rPr>
            </w:pPr>
          </w:p>
        </w:tc>
        <w:tc>
          <w:tcPr>
            <w:tcW w:w="1559" w:type="dxa"/>
            <w:vAlign w:val="center"/>
          </w:tcPr>
          <w:p w14:paraId="6A0EAC2E">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67EE2F3D">
            <w:pPr>
              <w:spacing w:line="400" w:lineRule="exact"/>
              <w:jc w:val="center"/>
              <w:rPr>
                <w:rFonts w:hint="default" w:ascii="Times New Roman" w:hAnsi="Times New Roman" w:eastAsia="仿宋" w:cs="Times New Roman"/>
              </w:rPr>
            </w:pPr>
          </w:p>
        </w:tc>
      </w:tr>
      <w:tr w14:paraId="5E2870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EA737C9">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4BE926B9">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7420E22B">
            <w:pPr>
              <w:spacing w:line="400" w:lineRule="exact"/>
              <w:jc w:val="center"/>
              <w:rPr>
                <w:rFonts w:hint="default" w:ascii="Times New Roman" w:hAnsi="Times New Roman" w:eastAsia="仿宋" w:cs="Times New Roman"/>
              </w:rPr>
            </w:pPr>
          </w:p>
        </w:tc>
        <w:tc>
          <w:tcPr>
            <w:tcW w:w="1519" w:type="dxa"/>
            <w:vAlign w:val="center"/>
          </w:tcPr>
          <w:p w14:paraId="1E89F90B">
            <w:pPr>
              <w:spacing w:line="400" w:lineRule="exact"/>
              <w:jc w:val="center"/>
              <w:rPr>
                <w:rFonts w:hint="default" w:ascii="Times New Roman" w:hAnsi="Times New Roman" w:eastAsia="仿宋" w:cs="Times New Roman"/>
              </w:rPr>
            </w:pPr>
          </w:p>
        </w:tc>
        <w:tc>
          <w:tcPr>
            <w:tcW w:w="1559" w:type="dxa"/>
            <w:vAlign w:val="center"/>
          </w:tcPr>
          <w:p w14:paraId="568C8EE9">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4CA2ED23">
            <w:pPr>
              <w:spacing w:line="400" w:lineRule="exact"/>
              <w:jc w:val="center"/>
              <w:rPr>
                <w:rFonts w:hint="default" w:ascii="Times New Roman" w:hAnsi="Times New Roman" w:eastAsia="仿宋" w:cs="Times New Roman"/>
              </w:rPr>
            </w:pPr>
          </w:p>
        </w:tc>
      </w:tr>
      <w:tr w14:paraId="23EB0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64A579C">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42EECAF0">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5E7B589B">
            <w:pPr>
              <w:spacing w:line="400" w:lineRule="exact"/>
              <w:jc w:val="center"/>
              <w:rPr>
                <w:rFonts w:hint="default" w:ascii="Times New Roman" w:hAnsi="Times New Roman" w:eastAsia="仿宋" w:cs="Times New Roman"/>
              </w:rPr>
            </w:pPr>
          </w:p>
        </w:tc>
        <w:tc>
          <w:tcPr>
            <w:tcW w:w="1519" w:type="dxa"/>
            <w:vAlign w:val="center"/>
          </w:tcPr>
          <w:p w14:paraId="1DD0DBD8">
            <w:pPr>
              <w:spacing w:line="400" w:lineRule="exact"/>
              <w:jc w:val="center"/>
              <w:rPr>
                <w:rFonts w:hint="default" w:ascii="Times New Roman" w:hAnsi="Times New Roman" w:eastAsia="仿宋" w:cs="Times New Roman"/>
              </w:rPr>
            </w:pPr>
          </w:p>
        </w:tc>
        <w:tc>
          <w:tcPr>
            <w:tcW w:w="1559" w:type="dxa"/>
            <w:vAlign w:val="center"/>
          </w:tcPr>
          <w:p w14:paraId="6AFAEEDA">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6CB6657F">
            <w:pPr>
              <w:spacing w:line="400" w:lineRule="exact"/>
              <w:jc w:val="center"/>
              <w:rPr>
                <w:rFonts w:hint="default" w:ascii="Times New Roman" w:hAnsi="Times New Roman" w:eastAsia="仿宋" w:cs="Times New Roman"/>
              </w:rPr>
            </w:pPr>
          </w:p>
        </w:tc>
      </w:tr>
      <w:tr w14:paraId="0577DE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184E3D8">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1865EB92">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36A7107B">
            <w:pPr>
              <w:spacing w:line="400" w:lineRule="exact"/>
              <w:jc w:val="center"/>
              <w:rPr>
                <w:rFonts w:hint="default" w:ascii="Times New Roman" w:hAnsi="Times New Roman" w:eastAsia="仿宋" w:cs="Times New Roman"/>
              </w:rPr>
            </w:pPr>
          </w:p>
        </w:tc>
        <w:tc>
          <w:tcPr>
            <w:tcW w:w="1519" w:type="dxa"/>
            <w:vAlign w:val="center"/>
          </w:tcPr>
          <w:p w14:paraId="4C21AA06">
            <w:pPr>
              <w:spacing w:line="400" w:lineRule="exact"/>
              <w:jc w:val="center"/>
              <w:rPr>
                <w:rFonts w:hint="default" w:ascii="Times New Roman" w:hAnsi="Times New Roman" w:eastAsia="仿宋" w:cs="Times New Roman"/>
              </w:rPr>
            </w:pPr>
          </w:p>
        </w:tc>
        <w:tc>
          <w:tcPr>
            <w:tcW w:w="1559" w:type="dxa"/>
            <w:vAlign w:val="center"/>
          </w:tcPr>
          <w:p w14:paraId="4793D0AA">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425BF53D">
            <w:pPr>
              <w:spacing w:line="400" w:lineRule="exact"/>
              <w:jc w:val="center"/>
              <w:rPr>
                <w:rFonts w:hint="default" w:ascii="Times New Roman" w:hAnsi="Times New Roman" w:eastAsia="仿宋" w:cs="Times New Roman"/>
              </w:rPr>
            </w:pPr>
          </w:p>
        </w:tc>
      </w:tr>
      <w:tr w14:paraId="3E958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F4CFE36">
            <w:pPr>
              <w:spacing w:line="400" w:lineRule="exact"/>
              <w:jc w:val="center"/>
              <w:rPr>
                <w:rFonts w:hint="default" w:ascii="Times New Roman" w:hAnsi="Times New Roman" w:eastAsia="仿宋" w:cs="Times New Roman"/>
              </w:rPr>
            </w:pPr>
          </w:p>
          <w:p w14:paraId="370E7AD8">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71C312F6">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6B3C0597">
            <w:pPr>
              <w:spacing w:line="400" w:lineRule="exact"/>
              <w:jc w:val="center"/>
              <w:rPr>
                <w:rFonts w:hint="default" w:ascii="Times New Roman" w:hAnsi="Times New Roman" w:eastAsia="仿宋" w:cs="Times New Roman"/>
              </w:rPr>
            </w:pPr>
          </w:p>
        </w:tc>
        <w:tc>
          <w:tcPr>
            <w:tcW w:w="1519" w:type="dxa"/>
            <w:vAlign w:val="center"/>
          </w:tcPr>
          <w:p w14:paraId="13F1ED0D">
            <w:pPr>
              <w:spacing w:line="400" w:lineRule="exact"/>
              <w:jc w:val="center"/>
              <w:rPr>
                <w:rFonts w:hint="default" w:ascii="Times New Roman" w:hAnsi="Times New Roman" w:eastAsia="仿宋" w:cs="Times New Roman"/>
              </w:rPr>
            </w:pPr>
          </w:p>
        </w:tc>
        <w:tc>
          <w:tcPr>
            <w:tcW w:w="1559" w:type="dxa"/>
            <w:vAlign w:val="center"/>
          </w:tcPr>
          <w:p w14:paraId="35945B6E">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737D40D8">
            <w:pPr>
              <w:spacing w:line="400" w:lineRule="exact"/>
              <w:jc w:val="center"/>
              <w:rPr>
                <w:rFonts w:hint="default" w:ascii="Times New Roman" w:hAnsi="Times New Roman" w:eastAsia="仿宋" w:cs="Times New Roman"/>
              </w:rPr>
            </w:pPr>
          </w:p>
        </w:tc>
      </w:tr>
      <w:tr w14:paraId="22948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CC59352">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0F0859D9">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22CBF0DC">
            <w:pPr>
              <w:spacing w:line="400" w:lineRule="exact"/>
              <w:jc w:val="center"/>
              <w:rPr>
                <w:rFonts w:hint="default" w:ascii="Times New Roman" w:hAnsi="Times New Roman" w:eastAsia="仿宋" w:cs="Times New Roman"/>
              </w:rPr>
            </w:pPr>
          </w:p>
        </w:tc>
        <w:tc>
          <w:tcPr>
            <w:tcW w:w="1519" w:type="dxa"/>
            <w:vAlign w:val="center"/>
          </w:tcPr>
          <w:p w14:paraId="0FAA6BE4">
            <w:pPr>
              <w:spacing w:line="400" w:lineRule="exact"/>
              <w:jc w:val="center"/>
              <w:rPr>
                <w:rFonts w:hint="default" w:ascii="Times New Roman" w:hAnsi="Times New Roman" w:eastAsia="仿宋" w:cs="Times New Roman"/>
              </w:rPr>
            </w:pPr>
          </w:p>
        </w:tc>
        <w:tc>
          <w:tcPr>
            <w:tcW w:w="1559" w:type="dxa"/>
            <w:vAlign w:val="center"/>
          </w:tcPr>
          <w:p w14:paraId="1D29BA78">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2EC00E35">
            <w:pPr>
              <w:spacing w:line="400" w:lineRule="exact"/>
              <w:jc w:val="center"/>
              <w:rPr>
                <w:rFonts w:hint="default" w:ascii="Times New Roman" w:hAnsi="Times New Roman" w:eastAsia="仿宋" w:cs="Times New Roman"/>
              </w:rPr>
            </w:pPr>
          </w:p>
        </w:tc>
      </w:tr>
      <w:tr w14:paraId="3AC3EC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1224716">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1CE7FC3F">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67001326">
            <w:pPr>
              <w:spacing w:line="400" w:lineRule="exact"/>
              <w:jc w:val="center"/>
              <w:rPr>
                <w:rFonts w:hint="default" w:ascii="Times New Roman" w:hAnsi="Times New Roman" w:eastAsia="仿宋" w:cs="Times New Roman"/>
              </w:rPr>
            </w:pPr>
          </w:p>
        </w:tc>
        <w:tc>
          <w:tcPr>
            <w:tcW w:w="1519" w:type="dxa"/>
            <w:vAlign w:val="center"/>
          </w:tcPr>
          <w:p w14:paraId="23460711">
            <w:pPr>
              <w:spacing w:line="400" w:lineRule="exact"/>
              <w:jc w:val="center"/>
              <w:rPr>
                <w:rFonts w:hint="default" w:ascii="Times New Roman" w:hAnsi="Times New Roman" w:eastAsia="仿宋" w:cs="Times New Roman"/>
              </w:rPr>
            </w:pPr>
          </w:p>
        </w:tc>
        <w:tc>
          <w:tcPr>
            <w:tcW w:w="1559" w:type="dxa"/>
            <w:vAlign w:val="center"/>
          </w:tcPr>
          <w:p w14:paraId="5A06EE95">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7894110E">
            <w:pPr>
              <w:spacing w:line="400" w:lineRule="exact"/>
              <w:jc w:val="center"/>
              <w:rPr>
                <w:rFonts w:hint="default" w:ascii="Times New Roman" w:hAnsi="Times New Roman" w:eastAsia="仿宋" w:cs="Times New Roman"/>
              </w:rPr>
            </w:pPr>
          </w:p>
        </w:tc>
      </w:tr>
      <w:tr w14:paraId="02406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00E8BB5">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6332595A">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43E23D18">
            <w:pPr>
              <w:spacing w:line="400" w:lineRule="exact"/>
              <w:jc w:val="center"/>
              <w:rPr>
                <w:rFonts w:hint="default" w:ascii="Times New Roman" w:hAnsi="Times New Roman" w:eastAsia="仿宋" w:cs="Times New Roman"/>
              </w:rPr>
            </w:pPr>
          </w:p>
        </w:tc>
        <w:tc>
          <w:tcPr>
            <w:tcW w:w="1519" w:type="dxa"/>
            <w:vAlign w:val="center"/>
          </w:tcPr>
          <w:p w14:paraId="4CE8C6DE">
            <w:pPr>
              <w:spacing w:line="400" w:lineRule="exact"/>
              <w:jc w:val="center"/>
              <w:rPr>
                <w:rFonts w:hint="default" w:ascii="Times New Roman" w:hAnsi="Times New Roman" w:eastAsia="仿宋" w:cs="Times New Roman"/>
              </w:rPr>
            </w:pPr>
          </w:p>
        </w:tc>
        <w:tc>
          <w:tcPr>
            <w:tcW w:w="1559" w:type="dxa"/>
            <w:vAlign w:val="center"/>
          </w:tcPr>
          <w:p w14:paraId="1FCB5F3F">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09DB3F85">
            <w:pPr>
              <w:spacing w:line="400" w:lineRule="exact"/>
              <w:jc w:val="center"/>
              <w:rPr>
                <w:rFonts w:hint="default" w:ascii="Times New Roman" w:hAnsi="Times New Roman" w:eastAsia="仿宋" w:cs="Times New Roman"/>
              </w:rPr>
            </w:pPr>
          </w:p>
        </w:tc>
      </w:tr>
    </w:tbl>
    <w:p w14:paraId="220A895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注：申请人以上业绩需提供有关书面证明材料。“合同金额”需提供合同复印件。</w:t>
      </w:r>
    </w:p>
    <w:p w14:paraId="178187D0">
      <w:pPr>
        <w:spacing w:line="400" w:lineRule="exact"/>
        <w:ind w:left="360"/>
        <w:jc w:val="center"/>
        <w:rPr>
          <w:rFonts w:hint="default" w:ascii="Times New Roman" w:hAnsi="Times New Roman" w:eastAsia="仿宋" w:cs="Times New Roman"/>
          <w:sz w:val="24"/>
        </w:rPr>
      </w:pPr>
    </w:p>
    <w:p w14:paraId="5026166C">
      <w:pPr>
        <w:spacing w:line="400" w:lineRule="exact"/>
        <w:ind w:left="360"/>
        <w:jc w:val="center"/>
        <w:rPr>
          <w:rFonts w:hint="default" w:ascii="Times New Roman" w:hAnsi="Times New Roman" w:eastAsia="仿宋" w:cs="Times New Roman"/>
        </w:rPr>
      </w:pPr>
    </w:p>
    <w:p w14:paraId="2EF04A8B">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783998F4">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03570804">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日期：</w:t>
      </w:r>
    </w:p>
    <w:p w14:paraId="3068FF52">
      <w:pPr>
        <w:spacing w:line="400" w:lineRule="exact"/>
        <w:rPr>
          <w:rFonts w:hint="default" w:ascii="Times New Roman" w:hAnsi="Times New Roman" w:eastAsia="仿宋" w:cs="Times New Roman"/>
        </w:rPr>
      </w:pPr>
    </w:p>
    <w:p w14:paraId="098ACED8">
      <w:pPr>
        <w:spacing w:line="400" w:lineRule="exact"/>
        <w:rPr>
          <w:rFonts w:hint="default" w:ascii="Times New Roman" w:hAnsi="Times New Roman" w:eastAsia="仿宋" w:cs="Times New Roman"/>
        </w:rPr>
      </w:pPr>
    </w:p>
    <w:p w14:paraId="0AC1893A">
      <w:pPr>
        <w:rPr>
          <w:rFonts w:hint="default" w:ascii="Times New Roman" w:hAnsi="Times New Roman" w:eastAsia="仿宋" w:cs="Times New Roman"/>
        </w:rPr>
      </w:pPr>
      <w:r>
        <w:rPr>
          <w:rFonts w:hint="default" w:ascii="Times New Roman" w:hAnsi="Times New Roman" w:eastAsia="仿宋" w:cs="Times New Roman"/>
        </w:rPr>
        <w:br w:type="page"/>
      </w:r>
    </w:p>
    <w:p w14:paraId="3719C533">
      <w:pPr>
        <w:keepNext w:val="0"/>
        <w:keepLines w:val="0"/>
        <w:pageBreakBefore w:val="0"/>
        <w:widowControl w:val="0"/>
        <w:kinsoku/>
        <w:wordWrap/>
        <w:overflowPunct/>
        <w:topLinePunct w:val="0"/>
        <w:autoSpaceDE/>
        <w:autoSpaceDN/>
        <w:bidi w:val="0"/>
        <w:adjustRightInd/>
        <w:snapToGrid/>
        <w:spacing w:after="0" w:afterLines="0"/>
        <w:jc w:val="center"/>
        <w:textAlignment w:val="auto"/>
        <w:outlineLvl w:val="0"/>
        <w:rPr>
          <w:rFonts w:hint="default" w:ascii="Times New Roman" w:hAnsi="Times New Roman" w:eastAsia="方正公文小标宋" w:cs="Times New Roman"/>
        </w:rPr>
      </w:pPr>
      <w:bookmarkStart w:id="474" w:name="_Toc32205"/>
      <w:bookmarkStart w:id="475" w:name="_Toc22904"/>
      <w:bookmarkStart w:id="476" w:name="_Toc11614"/>
      <w:bookmarkStart w:id="477" w:name="_Toc18783"/>
      <w:bookmarkStart w:id="478" w:name="_Toc2776"/>
      <w:bookmarkStart w:id="479" w:name="_Toc3299"/>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六</w:t>
      </w:r>
      <w:r>
        <w:rPr>
          <w:rFonts w:hint="default" w:ascii="Times New Roman" w:hAnsi="Times New Roman" w:eastAsia="方正公文小标宋" w:cs="Times New Roman"/>
        </w:rPr>
        <w:t xml:space="preserve">章  </w:t>
      </w:r>
      <w:r>
        <w:rPr>
          <w:rFonts w:hint="default" w:ascii="Times New Roman" w:hAnsi="Times New Roman" w:eastAsia="方正公文小标宋" w:cs="Times New Roman"/>
          <w:lang w:val="en-US" w:eastAsia="zh-CN"/>
        </w:rPr>
        <w:t>比选</w:t>
      </w:r>
      <w:r>
        <w:rPr>
          <w:rFonts w:hint="default" w:ascii="Times New Roman" w:hAnsi="Times New Roman" w:eastAsia="方正公文小标宋" w:cs="Times New Roman"/>
        </w:rPr>
        <w:t>方法</w:t>
      </w:r>
      <w:bookmarkEnd w:id="474"/>
      <w:bookmarkEnd w:id="475"/>
      <w:bookmarkEnd w:id="476"/>
      <w:bookmarkEnd w:id="477"/>
      <w:bookmarkEnd w:id="478"/>
      <w:bookmarkEnd w:id="479"/>
    </w:p>
    <w:p w14:paraId="456CA091">
      <w:pPr>
        <w:widowControl/>
        <w:tabs>
          <w:tab w:val="left" w:pos="7665"/>
        </w:tabs>
        <w:spacing w:line="560" w:lineRule="exact"/>
        <w:ind w:firstLine="480" w:firstLineChars="200"/>
        <w:jc w:val="left"/>
        <w:outlineLvl w:val="1"/>
        <w:rPr>
          <w:rFonts w:hint="default" w:ascii="Times New Roman" w:hAnsi="Times New Roman" w:eastAsia="黑体" w:cs="Times New Roman"/>
          <w:b w:val="0"/>
          <w:bCs w:val="0"/>
          <w:sz w:val="24"/>
          <w:szCs w:val="20"/>
          <w:lang w:val="en-US" w:eastAsia="zh-CN"/>
        </w:rPr>
      </w:pPr>
      <w:bookmarkStart w:id="480" w:name="_Toc26142"/>
      <w:bookmarkStart w:id="481" w:name="_Toc30413"/>
      <w:bookmarkStart w:id="482" w:name="_Toc4153"/>
      <w:bookmarkStart w:id="483" w:name="_Toc29656"/>
      <w:bookmarkStart w:id="484" w:name="_Toc31846"/>
      <w:r>
        <w:rPr>
          <w:rFonts w:hint="eastAsia" w:ascii="Times New Roman" w:eastAsia="黑体" w:cs="Times New Roman"/>
          <w:b w:val="0"/>
          <w:bCs w:val="0"/>
          <w:sz w:val="24"/>
          <w:lang w:val="en-US" w:eastAsia="zh-CN"/>
        </w:rPr>
        <w:t>一、</w:t>
      </w:r>
      <w:r>
        <w:rPr>
          <w:rFonts w:hint="default" w:ascii="Times New Roman" w:hAnsi="Times New Roman" w:eastAsia="黑体" w:cs="Times New Roman"/>
          <w:b w:val="0"/>
          <w:bCs w:val="0"/>
          <w:sz w:val="24"/>
          <w:lang w:val="en-US" w:eastAsia="zh-CN"/>
        </w:rPr>
        <w:t>总则</w:t>
      </w:r>
      <w:bookmarkEnd w:id="480"/>
      <w:bookmarkEnd w:id="481"/>
      <w:bookmarkEnd w:id="482"/>
      <w:bookmarkEnd w:id="483"/>
      <w:bookmarkEnd w:id="484"/>
    </w:p>
    <w:p w14:paraId="7C5D43E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1.比选工作由比选人依法组建的比选委员会（以下简称比委会）负责。</w:t>
      </w:r>
    </w:p>
    <w:p w14:paraId="303EEC4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2.</w:t>
      </w:r>
      <w:r>
        <w:rPr>
          <w:rFonts w:hint="default" w:ascii="Times New Roman" w:hAnsi="Times New Roman" w:eastAsia="仿宋_GB2312" w:cs="Times New Roman"/>
          <w:b w:val="0"/>
          <w:bCs w:val="0"/>
          <w:sz w:val="24"/>
          <w:szCs w:val="20"/>
          <w:lang w:val="en-US" w:eastAsia="zh-CN"/>
        </w:rPr>
        <w:t>比选过程严格保密。申请人对评委会的比选过程或合同授予决定施加影响的任何行为都可能导致其比选被拒绝。</w:t>
      </w:r>
    </w:p>
    <w:p w14:paraId="1FD3239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3.</w:t>
      </w:r>
      <w:r>
        <w:rPr>
          <w:rFonts w:hint="default" w:ascii="Times New Roman" w:hAnsi="Times New Roman" w:eastAsia="仿宋_GB2312" w:cs="Times New Roman"/>
          <w:b w:val="0"/>
          <w:bCs w:val="0"/>
          <w:sz w:val="24"/>
          <w:szCs w:val="20"/>
          <w:lang w:val="en-US" w:eastAsia="zh-CN"/>
        </w:rPr>
        <w:t>在比选期间，比委会可要求申请人对其响应文件中非实质性的有关问题进行澄清、说明或者补正。有关澄清、说明或者补正的要求和答复应以书面形式提交。申请人的澄清、说明或者补正不得超出响应文件的范围或者改变响应文件的实质性内容。</w:t>
      </w:r>
    </w:p>
    <w:p w14:paraId="5341F37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4.</w:t>
      </w:r>
      <w:r>
        <w:rPr>
          <w:rFonts w:hint="default" w:ascii="Times New Roman" w:hAnsi="Times New Roman" w:eastAsia="仿宋_GB2312" w:cs="Times New Roman"/>
          <w:b w:val="0"/>
          <w:bCs w:val="0"/>
          <w:sz w:val="24"/>
          <w:szCs w:val="20"/>
          <w:lang w:val="en-US" w:eastAsia="zh-CN"/>
        </w:rPr>
        <w:t>比委会认定实质性响应比选文件的比选是响应文件与比选文件要求的全部条款、条件和规格没有实质性负偏离。比委会决定响应文件的响应性依据响应文件本身的内容，而不寻求外部的证据。</w:t>
      </w:r>
    </w:p>
    <w:p w14:paraId="1808F07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5.</w:t>
      </w:r>
      <w:r>
        <w:rPr>
          <w:rFonts w:hint="default" w:ascii="Times New Roman" w:hAnsi="Times New Roman" w:eastAsia="仿宋_GB2312" w:cs="Times New Roman"/>
          <w:b w:val="0"/>
          <w:bCs w:val="0"/>
          <w:sz w:val="24"/>
          <w:szCs w:val="20"/>
          <w:lang w:val="en-US" w:eastAsia="zh-CN"/>
        </w:rPr>
        <w:t>响应文件如果没有实质性响应比选文件的要求，比委会将予以拒绝。申请人不得通过修正或撤消不合要求的偏离或保留从而使其比选成为实质性响应的比选。</w:t>
      </w:r>
    </w:p>
    <w:p w14:paraId="582B623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6.</w:t>
      </w:r>
      <w:r>
        <w:rPr>
          <w:rFonts w:hint="default" w:ascii="Times New Roman" w:hAnsi="Times New Roman" w:eastAsia="仿宋_GB2312" w:cs="Times New Roman"/>
          <w:b w:val="0"/>
          <w:bCs w:val="0"/>
          <w:sz w:val="24"/>
          <w:szCs w:val="20"/>
          <w:lang w:val="en-US" w:eastAsia="zh-CN"/>
        </w:rPr>
        <w:t>比委会只对确定为实质性响应比选文件要求的比选申请文件，根据响应文件的要求采用相同的比选程序、评分办法及标准进行评价和比较。</w:t>
      </w:r>
    </w:p>
    <w:p w14:paraId="1B46C59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7.</w:t>
      </w:r>
      <w:r>
        <w:rPr>
          <w:rFonts w:hint="default" w:ascii="Times New Roman" w:hAnsi="Times New Roman" w:eastAsia="仿宋_GB2312" w:cs="Times New Roman"/>
          <w:b w:val="0"/>
          <w:bCs w:val="0"/>
          <w:sz w:val="24"/>
          <w:szCs w:val="20"/>
          <w:lang w:val="en-US" w:eastAsia="zh-CN"/>
        </w:rPr>
        <w:t>响应文件属于下列情况的，在资格性、符合性检查时按照无效比选处理：</w:t>
      </w:r>
    </w:p>
    <w:p w14:paraId="615FF0E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7.1</w:t>
      </w:r>
      <w:r>
        <w:rPr>
          <w:rFonts w:hint="default" w:ascii="Times New Roman" w:hAnsi="Times New Roman" w:eastAsia="仿宋_GB2312" w:cs="Times New Roman"/>
          <w:b w:val="0"/>
          <w:bCs w:val="0"/>
          <w:sz w:val="24"/>
          <w:szCs w:val="20"/>
          <w:lang w:val="en-US" w:eastAsia="zh-CN"/>
        </w:rPr>
        <w:t>未按照比选文件规定和要求签署、盖章的;</w:t>
      </w:r>
    </w:p>
    <w:p w14:paraId="6B2598E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7.2</w:t>
      </w:r>
      <w:r>
        <w:rPr>
          <w:rFonts w:hint="default" w:ascii="Times New Roman" w:hAnsi="Times New Roman" w:eastAsia="仿宋_GB2312" w:cs="Times New Roman"/>
          <w:b w:val="0"/>
          <w:bCs w:val="0"/>
          <w:sz w:val="24"/>
          <w:szCs w:val="20"/>
          <w:lang w:val="en-US" w:eastAsia="zh-CN"/>
        </w:rPr>
        <w:t>不具备比选文件中规定的资格条件和要求的;</w:t>
      </w:r>
    </w:p>
    <w:p w14:paraId="4C6D82D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bookmarkStart w:id="485" w:name="_Toc183682370"/>
      <w:bookmarkStart w:id="486" w:name="_Toc183582233"/>
      <w:r>
        <w:rPr>
          <w:rFonts w:hint="eastAsia" w:ascii="Times New Roman" w:eastAsia="仿宋_GB2312" w:cs="Times New Roman"/>
          <w:b w:val="0"/>
          <w:bCs w:val="0"/>
          <w:sz w:val="24"/>
          <w:szCs w:val="20"/>
          <w:lang w:val="en-US" w:eastAsia="zh-CN"/>
        </w:rPr>
        <w:t>7.3</w:t>
      </w:r>
      <w:r>
        <w:rPr>
          <w:rFonts w:hint="default" w:ascii="Times New Roman" w:hAnsi="Times New Roman" w:eastAsia="仿宋_GB2312" w:cs="Times New Roman"/>
          <w:b w:val="0"/>
          <w:bCs w:val="0"/>
          <w:sz w:val="24"/>
          <w:szCs w:val="20"/>
          <w:lang w:val="en-US" w:eastAsia="zh-CN"/>
        </w:rPr>
        <w:t>比选文件规定的其他无效比选情形；</w:t>
      </w:r>
    </w:p>
    <w:p w14:paraId="11F93214">
      <w:pPr>
        <w:pStyle w:val="27"/>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仿宋_GB2312" w:cs="Times New Roman"/>
          <w:b w:val="0"/>
          <w:bCs w:val="0"/>
          <w:sz w:val="24"/>
          <w:szCs w:val="20"/>
          <w:lang w:val="en-US" w:eastAsia="zh-CN" w:bidi="ar-SA"/>
        </w:rPr>
      </w:pPr>
      <w:r>
        <w:rPr>
          <w:rFonts w:hint="eastAsia" w:ascii="Times New Roman" w:eastAsia="仿宋_GB2312" w:cs="Times New Roman"/>
          <w:b w:val="0"/>
          <w:bCs w:val="0"/>
          <w:sz w:val="24"/>
          <w:szCs w:val="20"/>
          <w:lang w:val="en-US" w:eastAsia="zh-CN"/>
        </w:rPr>
        <w:t>7.4</w:t>
      </w:r>
      <w:r>
        <w:rPr>
          <w:rFonts w:hint="default" w:ascii="Times New Roman" w:hAnsi="Times New Roman" w:eastAsia="仿宋_GB2312" w:cs="Times New Roman"/>
          <w:b w:val="0"/>
          <w:bCs w:val="0"/>
          <w:sz w:val="24"/>
          <w:szCs w:val="20"/>
          <w:lang w:val="en-US" w:eastAsia="zh-CN"/>
        </w:rPr>
        <w:t>不符合法律法规和比选文件中规定的其他实质性要求的</w:t>
      </w:r>
      <w:r>
        <w:rPr>
          <w:rFonts w:hint="default" w:ascii="Times New Roman" w:hAnsi="Times New Roman" w:eastAsia="仿宋_GB2312" w:cs="Times New Roman"/>
          <w:b w:val="0"/>
          <w:bCs w:val="0"/>
          <w:sz w:val="24"/>
          <w:szCs w:val="20"/>
          <w:lang w:val="en-US" w:eastAsia="zh-CN" w:bidi="ar-SA"/>
        </w:rPr>
        <w:t>。</w:t>
      </w:r>
      <w:bookmarkEnd w:id="485"/>
      <w:bookmarkEnd w:id="486"/>
    </w:p>
    <w:p w14:paraId="61C4E17C">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487" w:name="_Toc12297"/>
      <w:bookmarkStart w:id="488" w:name="_Toc14178"/>
      <w:bookmarkStart w:id="489" w:name="_Toc20759"/>
      <w:bookmarkStart w:id="490" w:name="_Toc11391"/>
      <w:bookmarkStart w:id="491" w:name="_Toc19585"/>
      <w:r>
        <w:rPr>
          <w:rFonts w:hint="eastAsia" w:ascii="Times New Roman" w:eastAsia="黑体" w:cs="Times New Roman"/>
          <w:b w:val="0"/>
          <w:bCs w:val="0"/>
          <w:sz w:val="24"/>
          <w:szCs w:val="20"/>
          <w:lang w:val="en-US" w:eastAsia="zh-CN"/>
        </w:rPr>
        <w:t>二、</w:t>
      </w:r>
      <w:r>
        <w:rPr>
          <w:rFonts w:hint="default" w:ascii="Times New Roman" w:hAnsi="Times New Roman" w:eastAsia="黑体" w:cs="Times New Roman"/>
          <w:b w:val="0"/>
          <w:bCs w:val="0"/>
          <w:sz w:val="24"/>
          <w:szCs w:val="20"/>
          <w:lang w:val="en-US" w:eastAsia="zh-CN"/>
        </w:rPr>
        <w:t>比选程序</w:t>
      </w:r>
      <w:bookmarkEnd w:id="487"/>
      <w:bookmarkEnd w:id="488"/>
      <w:bookmarkEnd w:id="489"/>
      <w:bookmarkEnd w:id="490"/>
      <w:bookmarkEnd w:id="491"/>
    </w:p>
    <w:p w14:paraId="29116FF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w:t>
      </w:r>
      <w:r>
        <w:rPr>
          <w:rFonts w:hint="default" w:ascii="Times New Roman" w:hAnsi="Times New Roman" w:eastAsia="仿宋_GB2312" w:cs="Times New Roman"/>
          <w:b w:val="0"/>
          <w:bCs w:val="0"/>
          <w:sz w:val="24"/>
          <w:szCs w:val="20"/>
          <w:lang w:val="en-US" w:eastAsia="zh-CN"/>
        </w:rPr>
        <w:t>比选会主持人按照比选文件规定的比选时间宣布比选，按照规定要求主持比选会。比选将按以下程序进行：</w:t>
      </w:r>
    </w:p>
    <w:p w14:paraId="274B6B9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8.1</w:t>
      </w:r>
      <w:r>
        <w:rPr>
          <w:rFonts w:hint="default" w:ascii="Times New Roman" w:hAnsi="Times New Roman" w:eastAsia="仿宋_GB2312" w:cs="Times New Roman"/>
          <w:b w:val="0"/>
          <w:bCs w:val="0"/>
          <w:sz w:val="24"/>
          <w:szCs w:val="20"/>
          <w:lang w:val="en-US" w:eastAsia="zh-CN"/>
        </w:rPr>
        <w:t>宣布比选会开始。比选时间到，主持人宣布比选会开始并致辞，当众宣布参加比选会的现场监督人员、公证人员（若有）和主持人等比选工作人员，宣布参加比选的申请人名单。</w:t>
      </w:r>
    </w:p>
    <w:p w14:paraId="34B578E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8.2</w:t>
      </w:r>
      <w:r>
        <w:rPr>
          <w:rFonts w:hint="default" w:ascii="Times New Roman" w:hAnsi="Times New Roman" w:eastAsia="仿宋_GB2312" w:cs="Times New Roman"/>
          <w:b w:val="0"/>
          <w:bCs w:val="0"/>
          <w:sz w:val="24"/>
          <w:szCs w:val="20"/>
          <w:lang w:val="en-US" w:eastAsia="zh-CN"/>
        </w:rPr>
        <w:t>宣布会场纪律和有关注意事项。</w:t>
      </w:r>
    </w:p>
    <w:p w14:paraId="12FD3B7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8.3</w:t>
      </w:r>
      <w:r>
        <w:rPr>
          <w:rFonts w:hint="default" w:ascii="Times New Roman" w:hAnsi="Times New Roman" w:eastAsia="仿宋_GB2312" w:cs="Times New Roman"/>
          <w:b w:val="0"/>
          <w:bCs w:val="0"/>
          <w:sz w:val="24"/>
          <w:szCs w:val="20"/>
          <w:lang w:val="en-US" w:eastAsia="zh-CN"/>
        </w:rPr>
        <w:t>当众宣布检查响应文件的密封情况。</w:t>
      </w:r>
    </w:p>
    <w:p w14:paraId="4A388DD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8.4</w:t>
      </w:r>
      <w:r>
        <w:rPr>
          <w:rFonts w:hint="default" w:ascii="Times New Roman" w:hAnsi="Times New Roman" w:eastAsia="仿宋_GB2312" w:cs="Times New Roman"/>
          <w:b w:val="0"/>
          <w:bCs w:val="0"/>
          <w:sz w:val="24"/>
          <w:szCs w:val="20"/>
          <w:lang w:val="en-US" w:eastAsia="zh-CN"/>
        </w:rPr>
        <w:t>比选唱标。主持人宣布比选后，由现场工作人员按任意顺序对申请人的响应文件当众进行拆封，由工作人员对其“报价一览表”的项目名称、比选总价以及申请人名称进行宣读。同时，工作人员将申请人的“报价一览表”投影在屏幕上，并做比选记录。</w:t>
      </w:r>
    </w:p>
    <w:p w14:paraId="755FA80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bookmarkStart w:id="492" w:name="_Toc16000"/>
      <w:bookmarkStart w:id="493" w:name="_Toc755"/>
      <w:bookmarkStart w:id="494" w:name="_Toc30580"/>
      <w:r>
        <w:rPr>
          <w:rFonts w:hint="eastAsia" w:ascii="Times New Roman" w:eastAsia="仿宋_GB2312" w:cs="Times New Roman"/>
          <w:b w:val="0"/>
          <w:bCs w:val="0"/>
          <w:sz w:val="24"/>
          <w:szCs w:val="20"/>
          <w:lang w:val="en-US" w:eastAsia="zh-CN"/>
        </w:rPr>
        <w:t>8.5</w:t>
      </w:r>
      <w:r>
        <w:rPr>
          <w:rFonts w:hint="default" w:ascii="Times New Roman" w:hAnsi="Times New Roman" w:eastAsia="仿宋_GB2312" w:cs="Times New Roman"/>
          <w:b w:val="0"/>
          <w:bCs w:val="0"/>
          <w:sz w:val="24"/>
          <w:szCs w:val="20"/>
          <w:lang w:val="en-US" w:eastAsia="zh-CN"/>
        </w:rPr>
        <w:t>宣布比选会结束。</w:t>
      </w:r>
      <w:bookmarkEnd w:id="492"/>
      <w:bookmarkEnd w:id="493"/>
      <w:bookmarkEnd w:id="494"/>
    </w:p>
    <w:p w14:paraId="41DBB046">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495" w:name="_Toc1242"/>
      <w:bookmarkStart w:id="496" w:name="_Toc25634"/>
      <w:bookmarkStart w:id="497" w:name="_Toc8830"/>
      <w:bookmarkStart w:id="498" w:name="_Toc6973"/>
      <w:bookmarkStart w:id="499" w:name="_Toc23200"/>
      <w:r>
        <w:rPr>
          <w:rFonts w:hint="eastAsia" w:ascii="Times New Roman" w:eastAsia="黑体" w:cs="Times New Roman"/>
          <w:b w:val="0"/>
          <w:bCs w:val="0"/>
          <w:sz w:val="24"/>
          <w:szCs w:val="20"/>
          <w:lang w:val="en-US" w:eastAsia="zh-CN"/>
        </w:rPr>
        <w:t>三、</w:t>
      </w:r>
      <w:r>
        <w:rPr>
          <w:rFonts w:hint="default" w:ascii="Times New Roman" w:hAnsi="Times New Roman" w:eastAsia="黑体" w:cs="Times New Roman"/>
          <w:b w:val="0"/>
          <w:bCs w:val="0"/>
          <w:sz w:val="24"/>
          <w:szCs w:val="20"/>
          <w:lang w:val="en-US" w:eastAsia="zh-CN"/>
        </w:rPr>
        <w:t>综合评分</w:t>
      </w:r>
      <w:bookmarkEnd w:id="495"/>
      <w:bookmarkEnd w:id="496"/>
      <w:bookmarkEnd w:id="497"/>
      <w:bookmarkEnd w:id="498"/>
      <w:bookmarkEnd w:id="499"/>
    </w:p>
    <w:p w14:paraId="74CD61B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9</w:t>
      </w:r>
      <w:r>
        <w:rPr>
          <w:rFonts w:hint="default" w:ascii="Times New Roman" w:hAnsi="Times New Roman" w:eastAsia="仿宋_GB2312" w:cs="Times New Roman"/>
          <w:b w:val="0"/>
          <w:bCs w:val="0"/>
          <w:sz w:val="24"/>
          <w:szCs w:val="20"/>
          <w:lang w:val="en-US" w:eastAsia="zh-CN"/>
        </w:rPr>
        <w:t>本次综合评分的因素详见综合评分明细表。</w:t>
      </w:r>
    </w:p>
    <w:p w14:paraId="581B4DE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10</w:t>
      </w:r>
      <w:r>
        <w:rPr>
          <w:rFonts w:hint="default" w:ascii="Times New Roman" w:hAnsi="Times New Roman" w:eastAsia="仿宋_GB2312" w:cs="Times New Roman"/>
          <w:b w:val="0"/>
          <w:bCs w:val="0"/>
          <w:sz w:val="24"/>
          <w:szCs w:val="20"/>
          <w:lang w:val="en-US" w:eastAsia="zh-CN"/>
        </w:rPr>
        <w:t>综合评分明细表</w:t>
      </w:r>
    </w:p>
    <w:p w14:paraId="5EDD191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10.1</w:t>
      </w:r>
      <w:r>
        <w:rPr>
          <w:rFonts w:hint="default" w:ascii="Times New Roman" w:hAnsi="Times New Roman" w:eastAsia="仿宋_GB2312" w:cs="Times New Roman"/>
          <w:b w:val="0"/>
          <w:bCs w:val="0"/>
          <w:sz w:val="24"/>
          <w:szCs w:val="20"/>
          <w:lang w:val="en-US" w:eastAsia="zh-CN"/>
        </w:rPr>
        <w:t>综合评分明细表按须知表中的相关要求进行价格调整，再参与价格分评审。</w:t>
      </w:r>
    </w:p>
    <w:p w14:paraId="5E266E6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bookmarkStart w:id="500" w:name="_Toc28825"/>
      <w:bookmarkStart w:id="501" w:name="_Toc6689"/>
      <w:bookmarkStart w:id="502" w:name="_Toc3485"/>
      <w:r>
        <w:rPr>
          <w:rFonts w:hint="eastAsia" w:ascii="Times New Roman" w:eastAsia="仿宋_GB2312" w:cs="Times New Roman"/>
          <w:b w:val="0"/>
          <w:bCs w:val="0"/>
          <w:sz w:val="24"/>
          <w:szCs w:val="20"/>
          <w:lang w:val="en-US" w:eastAsia="zh-CN"/>
        </w:rPr>
        <w:t>10</w:t>
      </w:r>
      <w:r>
        <w:rPr>
          <w:rFonts w:hint="default" w:ascii="Times New Roman" w:hAnsi="Times New Roman" w:eastAsia="仿宋_GB2312" w:cs="Times New Roman"/>
          <w:b w:val="0"/>
          <w:bCs w:val="0"/>
          <w:sz w:val="24"/>
          <w:szCs w:val="20"/>
          <w:lang w:val="en-US" w:eastAsia="zh-CN"/>
        </w:rPr>
        <w:t>.2综合评分明细表</w:t>
      </w:r>
      <w:bookmarkEnd w:id="500"/>
      <w:bookmarkEnd w:id="501"/>
      <w:bookmarkEnd w:id="502"/>
    </w:p>
    <w:tbl>
      <w:tblPr>
        <w:tblStyle w:val="34"/>
        <w:tblW w:w="4883" w:type="pc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042"/>
        <w:gridCol w:w="719"/>
        <w:gridCol w:w="5862"/>
      </w:tblGrid>
      <w:tr w14:paraId="2095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17" w:type="pct"/>
            <w:shd w:val="clear" w:color="auto" w:fill="auto"/>
            <w:vAlign w:val="center"/>
          </w:tcPr>
          <w:p w14:paraId="2A9F2EC7">
            <w:pPr>
              <w:widowControl/>
              <w:spacing w:line="240" w:lineRule="auto"/>
              <w:jc w:val="center"/>
              <w:textAlignment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kern w:val="0"/>
                <w:sz w:val="21"/>
                <w:szCs w:val="21"/>
                <w:lang w:bidi="ar"/>
                <w14:textFill>
                  <w14:solidFill>
                    <w14:schemeClr w14:val="tx1"/>
                  </w14:solidFill>
                </w14:textFill>
              </w:rPr>
              <w:t>序号</w:t>
            </w:r>
          </w:p>
        </w:tc>
        <w:tc>
          <w:tcPr>
            <w:tcW w:w="626" w:type="pct"/>
            <w:shd w:val="clear" w:color="auto" w:fill="auto"/>
            <w:vAlign w:val="center"/>
          </w:tcPr>
          <w:p w14:paraId="457F9134">
            <w:pPr>
              <w:widowControl/>
              <w:spacing w:line="240" w:lineRule="auto"/>
              <w:jc w:val="center"/>
              <w:textAlignment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kern w:val="0"/>
                <w:sz w:val="21"/>
                <w:szCs w:val="21"/>
                <w:lang w:bidi="ar"/>
                <w14:textFill>
                  <w14:solidFill>
                    <w14:schemeClr w14:val="tx1"/>
                  </w14:solidFill>
                </w14:textFill>
              </w:rPr>
              <w:t>评分因素</w:t>
            </w:r>
          </w:p>
        </w:tc>
        <w:tc>
          <w:tcPr>
            <w:tcW w:w="432" w:type="pct"/>
            <w:shd w:val="clear" w:color="auto" w:fill="auto"/>
            <w:vAlign w:val="center"/>
          </w:tcPr>
          <w:p w14:paraId="0745E0B8">
            <w:pPr>
              <w:widowControl/>
              <w:spacing w:line="240" w:lineRule="auto"/>
              <w:jc w:val="center"/>
              <w:textAlignment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kern w:val="0"/>
                <w:sz w:val="21"/>
                <w:szCs w:val="21"/>
                <w:lang w:bidi="ar"/>
                <w14:textFill>
                  <w14:solidFill>
                    <w14:schemeClr w14:val="tx1"/>
                  </w14:solidFill>
                </w14:textFill>
              </w:rPr>
              <w:t>分值</w:t>
            </w:r>
          </w:p>
        </w:tc>
        <w:tc>
          <w:tcPr>
            <w:tcW w:w="3523" w:type="pct"/>
            <w:shd w:val="clear" w:color="auto" w:fill="auto"/>
            <w:vAlign w:val="center"/>
          </w:tcPr>
          <w:p w14:paraId="36509CAA">
            <w:pPr>
              <w:widowControl/>
              <w:spacing w:line="240" w:lineRule="auto"/>
              <w:jc w:val="center"/>
              <w:textAlignment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kern w:val="0"/>
                <w:sz w:val="21"/>
                <w:szCs w:val="21"/>
                <w:lang w:bidi="ar"/>
                <w14:textFill>
                  <w14:solidFill>
                    <w14:schemeClr w14:val="tx1"/>
                  </w14:solidFill>
                </w14:textFill>
              </w:rPr>
              <w:t>评分标准</w:t>
            </w:r>
          </w:p>
        </w:tc>
      </w:tr>
      <w:tr w14:paraId="7CEB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17" w:type="pct"/>
            <w:shd w:val="clear" w:color="auto" w:fill="auto"/>
            <w:vAlign w:val="center"/>
          </w:tcPr>
          <w:p w14:paraId="5AED5CDE">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1</w:t>
            </w:r>
          </w:p>
        </w:tc>
        <w:tc>
          <w:tcPr>
            <w:tcW w:w="626" w:type="pct"/>
            <w:shd w:val="clear" w:color="auto" w:fill="auto"/>
            <w:vAlign w:val="center"/>
          </w:tcPr>
          <w:p w14:paraId="5FDCE8EC">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报价</w:t>
            </w:r>
          </w:p>
        </w:tc>
        <w:tc>
          <w:tcPr>
            <w:tcW w:w="432" w:type="pct"/>
            <w:shd w:val="clear" w:color="auto" w:fill="auto"/>
            <w:vAlign w:val="center"/>
          </w:tcPr>
          <w:p w14:paraId="78570CDD">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40</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分</w:t>
            </w:r>
          </w:p>
        </w:tc>
        <w:tc>
          <w:tcPr>
            <w:tcW w:w="3523" w:type="pct"/>
            <w:shd w:val="clear" w:color="auto" w:fill="auto"/>
            <w:vAlign w:val="center"/>
          </w:tcPr>
          <w:p w14:paraId="0ECC278D">
            <w:pPr>
              <w:widowControl/>
              <w:spacing w:line="240" w:lineRule="auto"/>
              <w:textAlignment w:val="center"/>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满足</w:t>
            </w: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比选</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文件要求且响应价格最低的响应报价为</w:t>
            </w: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比选</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基准价，其价格分为满分。其他比选报价得分=(比选基准价／比选报价)*10%*100（得分小数点后保留两位）</w:t>
            </w:r>
          </w:p>
        </w:tc>
      </w:tr>
      <w:tr w14:paraId="7E9B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17" w:type="pct"/>
            <w:shd w:val="clear" w:color="auto" w:fill="auto"/>
            <w:vAlign w:val="center"/>
          </w:tcPr>
          <w:p w14:paraId="285CC1AB">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2</w:t>
            </w:r>
          </w:p>
        </w:tc>
        <w:tc>
          <w:tcPr>
            <w:tcW w:w="626" w:type="pct"/>
            <w:shd w:val="clear" w:color="auto" w:fill="auto"/>
            <w:vAlign w:val="center"/>
          </w:tcPr>
          <w:p w14:paraId="78C56A0B">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施工组织方案</w:t>
            </w:r>
          </w:p>
        </w:tc>
        <w:tc>
          <w:tcPr>
            <w:tcW w:w="432" w:type="pct"/>
            <w:shd w:val="clear" w:color="auto" w:fill="auto"/>
            <w:vAlign w:val="center"/>
          </w:tcPr>
          <w:p w14:paraId="13C1A18E">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38分</w:t>
            </w:r>
          </w:p>
        </w:tc>
        <w:tc>
          <w:tcPr>
            <w:tcW w:w="3523" w:type="pct"/>
            <w:shd w:val="clear" w:color="auto" w:fill="auto"/>
            <w:vAlign w:val="center"/>
          </w:tcPr>
          <w:p w14:paraId="713846C9">
            <w:pPr>
              <w:widowControl/>
              <w:spacing w:line="240" w:lineRule="auto"/>
              <w:textAlignment w:val="cente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申请人提供的施工组织方案，包含：①施工方案及技术措施；②质量体系和质量目标；③质量管理措施；④资源配备计划；⑤安全教育及培训计划；⑥安全文明管理措施；⑦应急预案；⑧环境保护管理体系；⑨工程进度措施；⑩进度计划和横道图（或网络图）符合项目要求的得38分。每有一项内容缺失扣3.8分，每有一项内容缺陷扣1.9分，每项内容最多扣3.8分。</w:t>
            </w:r>
          </w:p>
          <w:p w14:paraId="4D5F54CC">
            <w:pPr>
              <w:widowControl/>
              <w:spacing w:line="240" w:lineRule="auto"/>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注：缺陷是指存在不适用项目实际情况的情形、凭空编造、方案中内容前后不一致、前后逻辑错误、涉及的规范及标准错误、不符合项目实际情况等。</w:t>
            </w:r>
          </w:p>
        </w:tc>
      </w:tr>
      <w:tr w14:paraId="75C3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417" w:type="pct"/>
            <w:shd w:val="clear" w:color="auto" w:fill="auto"/>
            <w:vAlign w:val="center"/>
          </w:tcPr>
          <w:p w14:paraId="019BB989">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3</w:t>
            </w:r>
          </w:p>
        </w:tc>
        <w:tc>
          <w:tcPr>
            <w:tcW w:w="626" w:type="pct"/>
            <w:shd w:val="clear" w:color="auto" w:fill="auto"/>
            <w:vAlign w:val="center"/>
          </w:tcPr>
          <w:p w14:paraId="7D6E1FED">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履约经验</w:t>
            </w:r>
          </w:p>
        </w:tc>
        <w:tc>
          <w:tcPr>
            <w:tcW w:w="432" w:type="pct"/>
            <w:shd w:val="clear" w:color="auto" w:fill="auto"/>
            <w:vAlign w:val="center"/>
          </w:tcPr>
          <w:p w14:paraId="15452ACD">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12分</w:t>
            </w:r>
          </w:p>
        </w:tc>
        <w:tc>
          <w:tcPr>
            <w:tcW w:w="3523" w:type="pct"/>
            <w:shd w:val="clear" w:color="auto" w:fill="auto"/>
            <w:vAlign w:val="center"/>
          </w:tcPr>
          <w:p w14:paraId="7F9F7FD4">
            <w:pPr>
              <w:widowControl/>
              <w:spacing w:line="240" w:lineRule="auto"/>
              <w:textAlignment w:val="center"/>
              <w:rPr>
                <w:rFonts w:hint="default" w:ascii="Times New Roman" w:hAnsi="Times New Roman" w:eastAsia="仿宋_GB2312" w:cs="Times New Roman"/>
                <w:color w:val="000000" w:themeColor="text1"/>
                <w:kern w:val="0"/>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申请人</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2019年1月1日（含1日）以来具有一个已完成类似项目业绩的</w:t>
            </w:r>
            <w:r>
              <w:rPr>
                <w:rFonts w:hint="eastAsia" w:ascii="Times New Roman" w:eastAsia="仿宋_GB2312" w:cs="Times New Roman"/>
                <w:color w:val="000000" w:themeColor="text1"/>
                <w:kern w:val="0"/>
                <w:sz w:val="21"/>
                <w:szCs w:val="21"/>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得2分，本项目最多得12分。</w:t>
            </w:r>
          </w:p>
          <w:p w14:paraId="10558A61">
            <w:pPr>
              <w:widowControl/>
              <w:spacing w:line="240" w:lineRule="auto"/>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说明：类似业绩需提供合同或中标通知书。（加盖鲜章）</w:t>
            </w:r>
          </w:p>
        </w:tc>
      </w:tr>
      <w:tr w14:paraId="63A9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17" w:type="pct"/>
            <w:shd w:val="clear" w:color="auto" w:fill="auto"/>
            <w:vAlign w:val="center"/>
          </w:tcPr>
          <w:p w14:paraId="5FC56E88">
            <w:pPr>
              <w:widowControl/>
              <w:spacing w:line="240" w:lineRule="auto"/>
              <w:jc w:val="center"/>
              <w:textAlignment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4</w:t>
            </w:r>
          </w:p>
        </w:tc>
        <w:tc>
          <w:tcPr>
            <w:tcW w:w="626" w:type="pct"/>
            <w:shd w:val="clear" w:color="auto" w:fill="auto"/>
            <w:vAlign w:val="center"/>
          </w:tcPr>
          <w:p w14:paraId="02599B41">
            <w:pPr>
              <w:widowControl/>
              <w:spacing w:line="240" w:lineRule="auto"/>
              <w:jc w:val="center"/>
              <w:textAlignment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项目管理机构</w:t>
            </w:r>
          </w:p>
        </w:tc>
        <w:tc>
          <w:tcPr>
            <w:tcW w:w="432" w:type="pct"/>
            <w:shd w:val="clear" w:color="auto" w:fill="auto"/>
            <w:vAlign w:val="center"/>
          </w:tcPr>
          <w:p w14:paraId="07C55940">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5</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分</w:t>
            </w:r>
          </w:p>
        </w:tc>
        <w:tc>
          <w:tcPr>
            <w:tcW w:w="3523" w:type="pct"/>
            <w:shd w:val="clear" w:color="auto" w:fill="auto"/>
            <w:vAlign w:val="center"/>
          </w:tcPr>
          <w:p w14:paraId="716D4B40">
            <w:pPr>
              <w:widowControl/>
              <w:spacing w:line="240" w:lineRule="auto"/>
              <w:textAlignment w:val="cente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项目部主要人员：配备施工员、质量员、安全员（同时提供C证）、资料员、造价员</w:t>
            </w: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等。</w:t>
            </w:r>
          </w:p>
          <w:p w14:paraId="42360E8B">
            <w:pPr>
              <w:widowControl/>
              <w:spacing w:line="240" w:lineRule="auto"/>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Style w:val="108"/>
                <w:rFonts w:hint="default" w:ascii="Times New Roman" w:hAnsi="Times New Roman" w:eastAsia="仿宋_GB2312" w:cs="Times New Roman"/>
                <w:color w:val="000000" w:themeColor="text1"/>
                <w:sz w:val="21"/>
                <w:szCs w:val="21"/>
                <w:lang w:bidi="ar"/>
                <w14:textFill>
                  <w14:solidFill>
                    <w14:schemeClr w14:val="tx1"/>
                  </w14:solidFill>
                </w14:textFill>
              </w:rPr>
              <w:t>说明</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：提供人员证书复印件，涉及到注册的证书必须在供应商本单位注册。</w:t>
            </w:r>
          </w:p>
        </w:tc>
      </w:tr>
      <w:tr w14:paraId="6429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shd w:val="clear" w:color="auto" w:fill="auto"/>
            <w:vAlign w:val="center"/>
          </w:tcPr>
          <w:p w14:paraId="7C89EC3F">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5</w:t>
            </w:r>
          </w:p>
        </w:tc>
        <w:tc>
          <w:tcPr>
            <w:tcW w:w="626" w:type="pct"/>
            <w:shd w:val="clear" w:color="auto" w:fill="auto"/>
            <w:vAlign w:val="center"/>
          </w:tcPr>
          <w:p w14:paraId="334307F1">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售后服务及承诺</w:t>
            </w:r>
          </w:p>
        </w:tc>
        <w:tc>
          <w:tcPr>
            <w:tcW w:w="432" w:type="pct"/>
            <w:shd w:val="clear" w:color="auto" w:fill="auto"/>
            <w:vAlign w:val="center"/>
          </w:tcPr>
          <w:p w14:paraId="7AF77320">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5分</w:t>
            </w:r>
          </w:p>
        </w:tc>
        <w:tc>
          <w:tcPr>
            <w:tcW w:w="3523" w:type="pct"/>
            <w:shd w:val="clear" w:color="auto" w:fill="auto"/>
            <w:vAlign w:val="center"/>
          </w:tcPr>
          <w:p w14:paraId="419B3360">
            <w:pPr>
              <w:widowControl/>
              <w:spacing w:line="240" w:lineRule="auto"/>
              <w:textAlignment w:val="center"/>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针对本项目提供的售后过程中服务承诺和维修方案进行综合评审，</w:t>
            </w:r>
            <w:r>
              <w:rPr>
                <w:rStyle w:val="109"/>
                <w:rFonts w:hint="default" w:ascii="Times New Roman" w:hAnsi="Times New Roman" w:eastAsia="仿宋_GB2312" w:cs="Times New Roman"/>
                <w:color w:val="000000" w:themeColor="text1"/>
                <w:sz w:val="21"/>
                <w:szCs w:val="21"/>
                <w:lang w:bidi="ar"/>
                <w14:textFill>
                  <w14:solidFill>
                    <w14:schemeClr w14:val="tx1"/>
                  </w14:solidFill>
                </w14:textFill>
              </w:rPr>
              <w:t>以上方面内容阐述详尽、逻辑及表达清晰、有利于项目实施、方案可操作性强、贴合项目特点</w:t>
            </w:r>
            <w:r>
              <w:rPr>
                <w:rStyle w:val="109"/>
                <w:rFonts w:hint="eastAsia" w:ascii="Times New Roman" w:eastAsia="仿宋_GB2312" w:cs="Times New Roman"/>
                <w:color w:val="000000" w:themeColor="text1"/>
                <w:sz w:val="21"/>
                <w:szCs w:val="21"/>
                <w:lang w:val="en-US" w:eastAsia="zh-CN" w:bidi="ar"/>
                <w14:textFill>
                  <w14:solidFill>
                    <w14:schemeClr w14:val="tx1"/>
                  </w14:solidFill>
                </w14:textFill>
              </w:rPr>
              <w:t>。</w:t>
            </w:r>
          </w:p>
        </w:tc>
      </w:tr>
    </w:tbl>
    <w:p w14:paraId="303FC6C0">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503" w:name="_Toc217446105"/>
      <w:bookmarkStart w:id="504" w:name="_Toc208849022"/>
      <w:bookmarkStart w:id="505" w:name="_Toc183582297"/>
      <w:bookmarkStart w:id="506" w:name="_Toc183682432"/>
      <w:bookmarkStart w:id="507" w:name="_Toc7494"/>
      <w:bookmarkStart w:id="508" w:name="_Toc1406"/>
      <w:bookmarkStart w:id="509" w:name="_Toc8468"/>
      <w:bookmarkStart w:id="510" w:name="_Toc10370"/>
      <w:bookmarkStart w:id="511" w:name="_Toc2078"/>
      <w:r>
        <w:rPr>
          <w:rFonts w:hint="eastAsia" w:ascii="Times New Roman" w:eastAsia="黑体" w:cs="Times New Roman"/>
          <w:b w:val="0"/>
          <w:bCs w:val="0"/>
          <w:sz w:val="24"/>
          <w:szCs w:val="20"/>
          <w:lang w:val="en-US" w:eastAsia="zh-CN"/>
        </w:rPr>
        <w:t>四</w:t>
      </w:r>
      <w:bookmarkEnd w:id="503"/>
      <w:bookmarkEnd w:id="504"/>
      <w:bookmarkEnd w:id="505"/>
      <w:bookmarkEnd w:id="506"/>
      <w:r>
        <w:rPr>
          <w:rFonts w:hint="eastAsia" w:ascii="Times New Roman" w:eastAsia="黑体" w:cs="Times New Roman"/>
          <w:b w:val="0"/>
          <w:bCs w:val="0"/>
          <w:sz w:val="24"/>
          <w:szCs w:val="20"/>
          <w:lang w:val="en-US" w:eastAsia="zh-CN"/>
        </w:rPr>
        <w:t>、</w:t>
      </w:r>
      <w:r>
        <w:rPr>
          <w:rFonts w:hint="default" w:ascii="Times New Roman" w:hAnsi="Times New Roman" w:eastAsia="黑体" w:cs="Times New Roman"/>
          <w:b w:val="0"/>
          <w:bCs w:val="0"/>
          <w:sz w:val="24"/>
          <w:szCs w:val="20"/>
          <w:lang w:val="en-US" w:eastAsia="zh-CN"/>
        </w:rPr>
        <w:t>比选专家在比选采购活动中承担以下义务</w:t>
      </w:r>
      <w:bookmarkEnd w:id="507"/>
      <w:bookmarkEnd w:id="508"/>
      <w:bookmarkEnd w:id="509"/>
      <w:bookmarkEnd w:id="510"/>
      <w:bookmarkEnd w:id="511"/>
    </w:p>
    <w:p w14:paraId="79E1BFF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bookmarkStart w:id="512" w:name="_Toc29998"/>
      <w:bookmarkStart w:id="513" w:name="_Toc13952"/>
      <w:bookmarkStart w:id="514" w:name="_Toc11651"/>
      <w:r>
        <w:rPr>
          <w:rFonts w:hint="eastAsia" w:ascii="Times New Roman" w:eastAsia="仿宋_GB2312" w:cs="Times New Roman"/>
          <w:b w:val="0"/>
          <w:bCs w:val="0"/>
          <w:sz w:val="24"/>
          <w:szCs w:val="20"/>
          <w:lang w:val="en-US" w:eastAsia="zh-CN"/>
        </w:rPr>
        <w:t>11</w:t>
      </w:r>
      <w:r>
        <w:rPr>
          <w:rFonts w:hint="default" w:ascii="Times New Roman" w:hAnsi="Times New Roman" w:eastAsia="仿宋_GB2312" w:cs="Times New Roman"/>
          <w:b w:val="0"/>
          <w:bCs w:val="0"/>
          <w:sz w:val="24"/>
          <w:szCs w:val="20"/>
          <w:lang w:val="en-US" w:eastAsia="zh-CN"/>
        </w:rPr>
        <w:t>遵纪守法，客观、公正、廉洁地履行职责。</w:t>
      </w:r>
      <w:bookmarkEnd w:id="512"/>
      <w:bookmarkEnd w:id="513"/>
      <w:bookmarkEnd w:id="514"/>
    </w:p>
    <w:p w14:paraId="61BE615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12</w:t>
      </w:r>
      <w:r>
        <w:rPr>
          <w:rFonts w:hint="default" w:ascii="Times New Roman" w:hAnsi="Times New Roman" w:eastAsia="仿宋_GB2312" w:cs="Times New Roman"/>
          <w:b w:val="0"/>
          <w:bCs w:val="0"/>
          <w:sz w:val="24"/>
          <w:szCs w:val="20"/>
          <w:lang w:val="en-US" w:eastAsia="zh-CN"/>
        </w:rPr>
        <w:t>按照比选文件的规定要求对申请人的资格条件和申请人提供的价格、技术、服务等方面严格进行评判，提供科学合理、公平公正的评审意见，参与起草比选报告，并予签字确认。</w:t>
      </w:r>
    </w:p>
    <w:p w14:paraId="054A350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13</w:t>
      </w:r>
      <w:r>
        <w:rPr>
          <w:rFonts w:hint="default" w:ascii="Times New Roman" w:hAnsi="Times New Roman" w:eastAsia="仿宋_GB2312" w:cs="Times New Roman"/>
          <w:b w:val="0"/>
          <w:bCs w:val="0"/>
          <w:sz w:val="24"/>
          <w:szCs w:val="20"/>
          <w:lang w:val="en-US" w:eastAsia="zh-CN"/>
        </w:rPr>
        <w:t>保守秘密。不得透露比选文件咨询情况，不得泄漏申请人的响应文件及知悉的商业秘密，不得向申请人透露比选情况。</w:t>
      </w:r>
    </w:p>
    <w:p w14:paraId="5B0BF9D2">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515" w:name="_Toc27593"/>
      <w:bookmarkStart w:id="516" w:name="_Toc20838"/>
      <w:bookmarkStart w:id="517" w:name="_Toc11812"/>
      <w:bookmarkStart w:id="518" w:name="_Toc14330"/>
      <w:bookmarkStart w:id="519" w:name="_Toc16496"/>
      <w:r>
        <w:rPr>
          <w:rFonts w:hint="eastAsia" w:ascii="Times New Roman" w:eastAsia="黑体" w:cs="Times New Roman"/>
          <w:b w:val="0"/>
          <w:bCs w:val="0"/>
          <w:sz w:val="24"/>
          <w:szCs w:val="20"/>
          <w:lang w:val="en-US" w:eastAsia="zh-CN"/>
        </w:rPr>
        <w:t>五、</w:t>
      </w:r>
      <w:r>
        <w:rPr>
          <w:rFonts w:hint="default" w:ascii="Times New Roman" w:hAnsi="Times New Roman" w:eastAsia="黑体" w:cs="Times New Roman"/>
          <w:b w:val="0"/>
          <w:bCs w:val="0"/>
          <w:sz w:val="24"/>
          <w:szCs w:val="20"/>
          <w:lang w:val="en-US" w:eastAsia="zh-CN"/>
        </w:rPr>
        <w:t>重新比选或终止比选</w:t>
      </w:r>
      <w:bookmarkEnd w:id="515"/>
      <w:bookmarkEnd w:id="516"/>
      <w:bookmarkEnd w:id="517"/>
      <w:bookmarkEnd w:id="518"/>
      <w:bookmarkEnd w:id="519"/>
    </w:p>
    <w:p w14:paraId="3859E20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14.</w:t>
      </w:r>
      <w:r>
        <w:rPr>
          <w:rFonts w:hint="default" w:ascii="Times New Roman" w:hAnsi="Times New Roman" w:eastAsia="仿宋_GB2312" w:cs="Times New Roman"/>
          <w:b w:val="0"/>
          <w:bCs w:val="0"/>
          <w:sz w:val="24"/>
          <w:szCs w:val="20"/>
          <w:lang w:val="en-US" w:eastAsia="zh-CN"/>
        </w:rPr>
        <w:t>本次比选活动中，出现下列情形之一的，予以重新比选或终止比选：</w:t>
      </w:r>
    </w:p>
    <w:p w14:paraId="2B3C5B5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14.1</w:t>
      </w:r>
      <w:r>
        <w:rPr>
          <w:rFonts w:hint="default" w:ascii="Times New Roman" w:hAnsi="Times New Roman" w:eastAsia="仿宋_GB2312" w:cs="Times New Roman"/>
          <w:b w:val="0"/>
          <w:bCs w:val="0"/>
          <w:sz w:val="24"/>
          <w:szCs w:val="20"/>
          <w:lang w:val="en-US" w:eastAsia="zh-CN"/>
        </w:rPr>
        <w:t>符合性审查申请人数量不足的；</w:t>
      </w:r>
    </w:p>
    <w:p w14:paraId="01A3A02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14.2</w:t>
      </w:r>
      <w:r>
        <w:rPr>
          <w:rFonts w:hint="default" w:ascii="Times New Roman" w:hAnsi="Times New Roman" w:eastAsia="仿宋_GB2312" w:cs="Times New Roman"/>
          <w:b w:val="0"/>
          <w:bCs w:val="0"/>
          <w:sz w:val="24"/>
          <w:szCs w:val="20"/>
          <w:lang w:val="en-US" w:eastAsia="zh-CN"/>
        </w:rPr>
        <w:t>出现影响比选采购公正的违法、违规行为的；</w:t>
      </w:r>
    </w:p>
    <w:p w14:paraId="035AA55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14.3</w:t>
      </w:r>
      <w:r>
        <w:rPr>
          <w:rFonts w:hint="default" w:ascii="Times New Roman" w:hAnsi="Times New Roman" w:eastAsia="仿宋_GB2312" w:cs="Times New Roman"/>
          <w:b w:val="0"/>
          <w:bCs w:val="0"/>
          <w:sz w:val="24"/>
          <w:szCs w:val="20"/>
          <w:lang w:val="en-US" w:eastAsia="zh-CN"/>
        </w:rPr>
        <w:t>因重大变故，比选采购任务取消的；</w:t>
      </w:r>
    </w:p>
    <w:p w14:paraId="707D6DF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重新比选或终止比选的，比选人应在中国招标投标公共服务平台上公告，并公告详细理由。</w:t>
      </w:r>
    </w:p>
    <w:p w14:paraId="2F65CDA7">
      <w:pPr>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br w:type="page"/>
      </w:r>
    </w:p>
    <w:p w14:paraId="310EB168">
      <w:pPr>
        <w:keepNext w:val="0"/>
        <w:keepLines w:val="0"/>
        <w:pageBreakBefore w:val="0"/>
        <w:widowControl w:val="0"/>
        <w:kinsoku/>
        <w:wordWrap/>
        <w:overflowPunct/>
        <w:topLinePunct w:val="0"/>
        <w:autoSpaceDE/>
        <w:autoSpaceDN/>
        <w:bidi w:val="0"/>
        <w:adjustRightInd/>
        <w:snapToGrid/>
        <w:spacing w:after="0" w:afterLines="0"/>
        <w:jc w:val="center"/>
        <w:textAlignment w:val="auto"/>
        <w:outlineLvl w:val="0"/>
        <w:rPr>
          <w:rFonts w:hint="default" w:ascii="Times New Roman" w:hAnsi="Times New Roman" w:eastAsia="方正公文小标宋" w:cs="Times New Roman"/>
        </w:rPr>
      </w:pPr>
      <w:bookmarkStart w:id="520" w:name="_Toc25463"/>
      <w:bookmarkStart w:id="521" w:name="_Toc16588"/>
      <w:bookmarkStart w:id="522" w:name="_Toc16298"/>
      <w:bookmarkStart w:id="523" w:name="_Toc19799"/>
      <w:bookmarkStart w:id="524" w:name="_Toc6840"/>
      <w:bookmarkStart w:id="525" w:name="_Toc25019"/>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七</w:t>
      </w:r>
      <w:r>
        <w:rPr>
          <w:rFonts w:hint="default" w:ascii="Times New Roman" w:hAnsi="Times New Roman" w:eastAsia="方正公文小标宋" w:cs="Times New Roman"/>
        </w:rPr>
        <w:t>章  采购合同（草案）</w:t>
      </w:r>
      <w:bookmarkEnd w:id="520"/>
      <w:bookmarkEnd w:id="521"/>
      <w:bookmarkEnd w:id="522"/>
      <w:bookmarkEnd w:id="523"/>
      <w:bookmarkEnd w:id="524"/>
      <w:bookmarkEnd w:id="525"/>
    </w:p>
    <w:p w14:paraId="47E9B3E3">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根据《中华人民共和国政府采购法》、《中华人民共和国民法典》、《中华人民共和国建筑法》及XXX采购项目（项目编号：XXX）的</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文件、乙方的响应文件及成交通知书，甲、乙双方同意签订本合同。详细技术说明及其他有关合同项目的特定信息由合同附件予以说明，合同附件及本项目的</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文件、响应文件、</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报告、</w:t>
      </w:r>
      <w:r>
        <w:rPr>
          <w:rFonts w:hint="default" w:ascii="Times New Roman" w:hAnsi="Times New Roman" w:eastAsia="仿宋" w:cs="Times New Roman"/>
          <w:sz w:val="24"/>
          <w:lang w:val="en-US" w:eastAsia="zh-CN"/>
        </w:rPr>
        <w:t>中选</w:t>
      </w:r>
      <w:r>
        <w:rPr>
          <w:rFonts w:hint="default" w:ascii="Times New Roman" w:hAnsi="Times New Roman" w:eastAsia="仿宋" w:cs="Times New Roman"/>
          <w:sz w:val="24"/>
        </w:rPr>
        <w:t>通知书等均为本合同不可分割的部分。双方同意共同遵守如下条款：</w:t>
      </w:r>
    </w:p>
    <w:p w14:paraId="15853384">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7C504FC3">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0C6644B6">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255B0809">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031BEB2C">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05CAE6C3">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注：本采购合同中出现的措辞“发包人”与</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文件中的“</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人”含义相同；</w:t>
      </w:r>
    </w:p>
    <w:p w14:paraId="02937575">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“投标人”与“</w:t>
      </w:r>
      <w:r>
        <w:rPr>
          <w:rFonts w:hint="default" w:ascii="Times New Roman" w:hAnsi="Times New Roman" w:eastAsia="仿宋" w:cs="Times New Roman"/>
          <w:sz w:val="24"/>
          <w:lang w:val="en-US" w:eastAsia="zh-CN"/>
        </w:rPr>
        <w:t>申请人</w:t>
      </w:r>
      <w:r>
        <w:rPr>
          <w:rFonts w:hint="default" w:ascii="Times New Roman" w:hAnsi="Times New Roman" w:eastAsia="仿宋" w:cs="Times New Roman"/>
          <w:sz w:val="24"/>
        </w:rPr>
        <w:t>“含义相同；</w:t>
      </w:r>
    </w:p>
    <w:p w14:paraId="669A8797">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“招标文件”与“</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文件”含义相同。</w:t>
      </w:r>
    </w:p>
    <w:p w14:paraId="35165A3F">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51A65BB3">
      <w:pPr>
        <w:rPr>
          <w:rFonts w:hint="default" w:ascii="Times New Roman" w:hAnsi="Times New Roman" w:eastAsia="仿宋" w:cs="Times New Roman"/>
          <w:sz w:val="24"/>
        </w:rPr>
      </w:pPr>
      <w:r>
        <w:rPr>
          <w:rFonts w:hint="default" w:ascii="Times New Roman" w:hAnsi="Times New Roman" w:eastAsia="仿宋" w:cs="Times New Roman"/>
          <w:sz w:val="24"/>
        </w:rPr>
        <w:br w:type="page"/>
      </w:r>
    </w:p>
    <w:p w14:paraId="4D18D158">
      <w:pPr>
        <w:bidi w:val="0"/>
        <w:jc w:val="center"/>
        <w:outlineLvl w:val="1"/>
        <w:rPr>
          <w:rFonts w:hint="default" w:ascii="Times New Roman" w:hAnsi="Times New Roman" w:eastAsia="仿宋_GB2312" w:cs="Times New Roman"/>
          <w:sz w:val="32"/>
          <w:szCs w:val="32"/>
        </w:rPr>
      </w:pPr>
      <w:bookmarkStart w:id="526" w:name="_Toc14858"/>
      <w:bookmarkStart w:id="527" w:name="_Toc30592"/>
      <w:bookmarkStart w:id="528" w:name="_Toc3573"/>
      <w:bookmarkStart w:id="529" w:name="_Toc3820"/>
      <w:bookmarkStart w:id="530" w:name="_Toc21551"/>
      <w:r>
        <w:rPr>
          <w:rFonts w:hint="default" w:ascii="Times New Roman" w:hAnsi="Times New Roman" w:eastAsia="仿宋_GB2312" w:cs="Times New Roman"/>
          <w:sz w:val="32"/>
          <w:szCs w:val="32"/>
        </w:rPr>
        <w:t xml:space="preserve">第一节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合同协议书</w:t>
      </w:r>
      <w:bookmarkEnd w:id="526"/>
      <w:bookmarkEnd w:id="527"/>
      <w:bookmarkEnd w:id="528"/>
      <w:bookmarkEnd w:id="529"/>
      <w:bookmarkEnd w:id="530"/>
    </w:p>
    <w:p w14:paraId="3FDAD0DB">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发包人（全称）：成都农业科技中心（甲方）</w:t>
      </w:r>
    </w:p>
    <w:p w14:paraId="1AF1BAB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承包人（全称）：                 （乙方）</w:t>
      </w:r>
    </w:p>
    <w:p w14:paraId="2183274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p>
    <w:p w14:paraId="33EFF1F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31" w:name="_Toc3116"/>
      <w:bookmarkStart w:id="532" w:name="_Toc10042"/>
      <w:bookmarkStart w:id="533" w:name="_Toc20852"/>
      <w:r>
        <w:rPr>
          <w:rFonts w:hint="default" w:ascii="Times New Roman" w:hAnsi="Times New Roman" w:eastAsia="仿宋" w:cs="Times New Roman"/>
          <w:sz w:val="24"/>
        </w:rPr>
        <w:t>一、工程概况</w:t>
      </w:r>
      <w:bookmarkEnd w:id="531"/>
      <w:bookmarkEnd w:id="532"/>
      <w:bookmarkEnd w:id="533"/>
    </w:p>
    <w:p w14:paraId="4AE01B9F">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1.工程名称：               。</w:t>
      </w:r>
    </w:p>
    <w:p w14:paraId="74D1097E">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2.工程地点：               。</w:t>
      </w:r>
    </w:p>
    <w:p w14:paraId="449FC3A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3.项目编号： 。</w:t>
      </w:r>
    </w:p>
    <w:p w14:paraId="6EE6F53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4.工程内容：                              。</w:t>
      </w:r>
    </w:p>
    <w:p w14:paraId="008C66E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5.工程承包范围：                      。</w:t>
      </w:r>
    </w:p>
    <w:p w14:paraId="6689B1E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34" w:name="_Toc2332"/>
      <w:bookmarkStart w:id="535" w:name="_Toc6424"/>
      <w:bookmarkStart w:id="536" w:name="_Toc24833"/>
      <w:r>
        <w:rPr>
          <w:rFonts w:hint="default" w:ascii="Times New Roman" w:hAnsi="Times New Roman" w:eastAsia="仿宋" w:cs="Times New Roman"/>
          <w:sz w:val="24"/>
        </w:rPr>
        <w:t>二、合同工期</w:t>
      </w:r>
      <w:bookmarkEnd w:id="534"/>
      <w:bookmarkEnd w:id="535"/>
      <w:bookmarkEnd w:id="536"/>
    </w:p>
    <w:p w14:paraId="1C090F3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施工周期：</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w:t>
      </w:r>
    </w:p>
    <w:p w14:paraId="0E9F021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37" w:name="_Toc4767"/>
      <w:bookmarkStart w:id="538" w:name="_Toc27330"/>
      <w:bookmarkStart w:id="539" w:name="_Toc18244"/>
      <w:r>
        <w:rPr>
          <w:rFonts w:hint="default" w:ascii="Times New Roman" w:hAnsi="Times New Roman" w:eastAsia="仿宋" w:cs="Times New Roman"/>
          <w:sz w:val="24"/>
        </w:rPr>
        <w:t>三、质量标准</w:t>
      </w:r>
      <w:bookmarkEnd w:id="537"/>
      <w:bookmarkEnd w:id="538"/>
      <w:bookmarkEnd w:id="539"/>
    </w:p>
    <w:p w14:paraId="3F3D4276">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达到国家现行技术规范，符合国家及行业验收合格标准。</w:t>
      </w:r>
    </w:p>
    <w:p w14:paraId="20DC311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40" w:name="_Toc18088"/>
      <w:bookmarkStart w:id="541" w:name="_Toc485"/>
      <w:bookmarkStart w:id="542" w:name="_Toc9945"/>
      <w:r>
        <w:rPr>
          <w:rFonts w:hint="default" w:ascii="Times New Roman" w:hAnsi="Times New Roman" w:eastAsia="仿宋" w:cs="Times New Roman"/>
          <w:sz w:val="24"/>
        </w:rPr>
        <w:t>四、签约合同价与合同价格形式</w:t>
      </w:r>
      <w:bookmarkEnd w:id="540"/>
      <w:bookmarkEnd w:id="541"/>
      <w:bookmarkEnd w:id="542"/>
      <w:r>
        <w:rPr>
          <w:rFonts w:hint="default" w:ascii="Times New Roman" w:hAnsi="Times New Roman" w:eastAsia="仿宋" w:cs="Times New Roman"/>
          <w:sz w:val="24"/>
        </w:rPr>
        <w:tab/>
      </w:r>
    </w:p>
    <w:p w14:paraId="5D940EB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1.签约合同价为：</w:t>
      </w:r>
    </w:p>
    <w:p w14:paraId="422B9AF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5B3FF976">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其中：</w:t>
      </w:r>
    </w:p>
    <w:p w14:paraId="64BE835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（1）安全文明施工费：</w:t>
      </w:r>
    </w:p>
    <w:p w14:paraId="39B6568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7B7BFBB7">
      <w:pPr>
        <w:keepNext w:val="0"/>
        <w:keepLines w:val="0"/>
        <w:pageBreakBefore w:val="0"/>
        <w:widowControl/>
        <w:numPr>
          <w:ilvl w:val="0"/>
          <w:numId w:val="3"/>
        </w:numPr>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暂估价金额：</w:t>
      </w:r>
    </w:p>
    <w:p w14:paraId="54266038">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5205A5F8">
      <w:pPr>
        <w:keepNext w:val="0"/>
        <w:keepLines w:val="0"/>
        <w:pageBreakBefore w:val="0"/>
        <w:widowControl/>
        <w:numPr>
          <w:ilvl w:val="0"/>
          <w:numId w:val="4"/>
        </w:numPr>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暂估价金额：</w:t>
      </w:r>
    </w:p>
    <w:p w14:paraId="4ADC1C4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20634D1D">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（4）暂列金额：</w:t>
      </w:r>
    </w:p>
    <w:p w14:paraId="44579E4F">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4DB78FB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2.合同价格形式：                  。</w:t>
      </w:r>
    </w:p>
    <w:p w14:paraId="0D936E8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43" w:name="_Toc30961"/>
      <w:bookmarkStart w:id="544" w:name="_Toc11045"/>
      <w:bookmarkStart w:id="545" w:name="_Toc20524"/>
      <w:r>
        <w:rPr>
          <w:rFonts w:hint="default" w:ascii="Times New Roman" w:hAnsi="Times New Roman" w:eastAsia="仿宋" w:cs="Times New Roman"/>
          <w:sz w:val="24"/>
        </w:rPr>
        <w:t>五、项目经理</w:t>
      </w:r>
      <w:bookmarkEnd w:id="543"/>
      <w:bookmarkEnd w:id="544"/>
      <w:bookmarkEnd w:id="545"/>
    </w:p>
    <w:p w14:paraId="649E84EE">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承包人项目经理：                 。</w:t>
      </w:r>
    </w:p>
    <w:p w14:paraId="4339E796">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46" w:name="_Toc31071"/>
      <w:bookmarkStart w:id="547" w:name="_Toc31715"/>
      <w:bookmarkStart w:id="548" w:name="_Toc10784"/>
      <w:r>
        <w:rPr>
          <w:rFonts w:hint="default" w:ascii="Times New Roman" w:hAnsi="Times New Roman" w:eastAsia="仿宋" w:cs="Times New Roman"/>
          <w:sz w:val="24"/>
        </w:rPr>
        <w:t>六、合同文件构成</w:t>
      </w:r>
      <w:bookmarkEnd w:id="546"/>
      <w:bookmarkEnd w:id="547"/>
      <w:bookmarkEnd w:id="548"/>
    </w:p>
    <w:p w14:paraId="272CED08">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本协议书与下列文件一起构成合同文件：</w:t>
      </w:r>
    </w:p>
    <w:p w14:paraId="2636116E">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中选</w:t>
      </w:r>
      <w:r>
        <w:rPr>
          <w:rFonts w:hint="default" w:ascii="Times New Roman" w:hAnsi="Times New Roman" w:eastAsia="仿宋" w:cs="Times New Roman"/>
          <w:sz w:val="24"/>
        </w:rPr>
        <w:t>通知书；</w:t>
      </w:r>
    </w:p>
    <w:p w14:paraId="71DD8EF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（2）专用合同条款及其附件；</w:t>
      </w:r>
    </w:p>
    <w:p w14:paraId="6949DEF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报告；</w:t>
      </w:r>
    </w:p>
    <w:p w14:paraId="33ED4877">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（4）技术标准和要求；</w:t>
      </w:r>
    </w:p>
    <w:p w14:paraId="50A80D9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（5）图纸；（如涉及）</w:t>
      </w:r>
    </w:p>
    <w:p w14:paraId="5F25873D">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（6）其他合同文件。</w:t>
      </w:r>
    </w:p>
    <w:p w14:paraId="34A2386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在合同订立及履行过程中形成的与合同有关的文件均构成合同文件组成部分。</w:t>
      </w:r>
    </w:p>
    <w:p w14:paraId="56B5CBD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上述各项合同文件包括合同当事人就该项合同文件所作出的补充和修改，属于同一类内容的文件，应以最新签署的为准。专用合同条款及其附件须经合同当事人签字或盖章。</w:t>
      </w:r>
    </w:p>
    <w:p w14:paraId="4FD959A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49" w:name="_Toc5234"/>
      <w:bookmarkStart w:id="550" w:name="_Toc27276"/>
      <w:bookmarkStart w:id="551" w:name="_Toc22203"/>
      <w:r>
        <w:rPr>
          <w:rFonts w:hint="default" w:ascii="Times New Roman" w:hAnsi="Times New Roman" w:eastAsia="仿宋" w:cs="Times New Roman"/>
          <w:sz w:val="24"/>
        </w:rPr>
        <w:t>七、承诺</w:t>
      </w:r>
      <w:bookmarkEnd w:id="549"/>
      <w:bookmarkEnd w:id="550"/>
      <w:bookmarkEnd w:id="551"/>
    </w:p>
    <w:p w14:paraId="15A0834F">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1.发包人承诺按照法律规定履行项目审批手续、筹集工程建设资金并按照合同约定的期限和方式支付合同价款。</w:t>
      </w:r>
    </w:p>
    <w:p w14:paraId="12A2DE1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2.承包人承诺按照法律规定及合同约定组织完成工程施工，确保工程质量和安全，不进行转包及违法分包，并在缺陷责任期及保修期内承担相应的工程维修责任。</w:t>
      </w:r>
    </w:p>
    <w:p w14:paraId="178A1D9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3.发包人和承包人通过招投标形式签订合同的，双方理解并承诺不再就同一工程另行签订与合同实质性内容相背离的协议。</w:t>
      </w:r>
    </w:p>
    <w:p w14:paraId="2059519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52" w:name="_Toc11427"/>
      <w:bookmarkStart w:id="553" w:name="_Toc1882"/>
      <w:bookmarkStart w:id="554" w:name="_Toc26911"/>
      <w:r>
        <w:rPr>
          <w:rFonts w:hint="default" w:ascii="Times New Roman" w:hAnsi="Times New Roman" w:eastAsia="仿宋" w:cs="Times New Roman"/>
          <w:sz w:val="24"/>
        </w:rPr>
        <w:t>八、词语含义</w:t>
      </w:r>
      <w:bookmarkEnd w:id="552"/>
      <w:bookmarkEnd w:id="553"/>
      <w:bookmarkEnd w:id="554"/>
    </w:p>
    <w:p w14:paraId="0D721F6A">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本协议书中词语含义与第二部分通用合同条款中赋予的含义相同。</w:t>
      </w:r>
    </w:p>
    <w:p w14:paraId="5504098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55" w:name="_Toc24450"/>
      <w:bookmarkStart w:id="556" w:name="_Toc1551"/>
      <w:bookmarkStart w:id="557" w:name="_Toc11638"/>
      <w:r>
        <w:rPr>
          <w:rFonts w:hint="default" w:ascii="Times New Roman" w:hAnsi="Times New Roman" w:eastAsia="仿宋" w:cs="Times New Roman"/>
          <w:sz w:val="24"/>
        </w:rPr>
        <w:t>九、签订时间</w:t>
      </w:r>
      <w:bookmarkEnd w:id="555"/>
      <w:bookmarkEnd w:id="556"/>
      <w:bookmarkEnd w:id="557"/>
    </w:p>
    <w:p w14:paraId="28A71C5D">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本合同于         年    月    日签订。</w:t>
      </w:r>
    </w:p>
    <w:p w14:paraId="28BC1D1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58" w:name="_Toc24810"/>
      <w:bookmarkStart w:id="559" w:name="_Toc28033"/>
      <w:bookmarkStart w:id="560" w:name="_Toc7354"/>
      <w:r>
        <w:rPr>
          <w:rFonts w:hint="default" w:ascii="Times New Roman" w:hAnsi="Times New Roman" w:eastAsia="仿宋" w:cs="Times New Roman"/>
          <w:sz w:val="24"/>
        </w:rPr>
        <w:t>十、签订地点</w:t>
      </w:r>
      <w:bookmarkEnd w:id="558"/>
      <w:bookmarkEnd w:id="559"/>
      <w:bookmarkEnd w:id="560"/>
    </w:p>
    <w:p w14:paraId="5312E59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本合同在                                    签订。</w:t>
      </w:r>
    </w:p>
    <w:p w14:paraId="565D297B">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61" w:name="_Toc10745"/>
      <w:bookmarkStart w:id="562" w:name="_Toc17634"/>
      <w:bookmarkStart w:id="563" w:name="_Toc11301"/>
      <w:r>
        <w:rPr>
          <w:rFonts w:hint="default" w:ascii="Times New Roman" w:hAnsi="Times New Roman" w:eastAsia="仿宋" w:cs="Times New Roman"/>
          <w:sz w:val="24"/>
        </w:rPr>
        <w:t>十一、补充协议</w:t>
      </w:r>
      <w:bookmarkEnd w:id="561"/>
      <w:bookmarkEnd w:id="562"/>
      <w:bookmarkEnd w:id="563"/>
    </w:p>
    <w:p w14:paraId="5BA9EFE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合同未尽事宜，合同当事人另行签订补充协议，补充协议是合同的组成部分。</w:t>
      </w:r>
    </w:p>
    <w:p w14:paraId="0606750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64" w:name="_Toc364"/>
      <w:bookmarkStart w:id="565" w:name="_Toc21733"/>
      <w:bookmarkStart w:id="566" w:name="_Toc6934"/>
      <w:r>
        <w:rPr>
          <w:rFonts w:hint="default" w:ascii="Times New Roman" w:hAnsi="Times New Roman" w:eastAsia="仿宋" w:cs="Times New Roman"/>
          <w:sz w:val="24"/>
        </w:rPr>
        <w:t>十二、合同生效</w:t>
      </w:r>
      <w:bookmarkEnd w:id="564"/>
      <w:bookmarkEnd w:id="565"/>
      <w:bookmarkEnd w:id="566"/>
    </w:p>
    <w:p w14:paraId="4BD9107C">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本合同自                                   生效。</w:t>
      </w:r>
    </w:p>
    <w:p w14:paraId="15D2424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67" w:name="_Toc18881"/>
      <w:bookmarkStart w:id="568" w:name="_Toc8739"/>
      <w:bookmarkStart w:id="569" w:name="_Toc25779"/>
      <w:r>
        <w:rPr>
          <w:rFonts w:hint="default" w:ascii="Times New Roman" w:hAnsi="Times New Roman" w:eastAsia="仿宋" w:cs="Times New Roman"/>
          <w:sz w:val="24"/>
        </w:rPr>
        <w:t>十三、合同份数</w:t>
      </w:r>
      <w:bookmarkEnd w:id="567"/>
      <w:bookmarkEnd w:id="568"/>
      <w:bookmarkEnd w:id="569"/>
    </w:p>
    <w:p w14:paraId="6C6C3A2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本合同一式    份，均具有同等法律效力，发包人执    份，承包人执    份。</w:t>
      </w:r>
    </w:p>
    <w:p w14:paraId="278372D7">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p>
    <w:p w14:paraId="713170DB">
      <w:pPr>
        <w:pStyle w:val="2"/>
        <w:keepNext w:val="0"/>
        <w:keepLines w:val="0"/>
        <w:pageBreakBefore w:val="0"/>
        <w:kinsoku/>
        <w:wordWrap/>
        <w:overflowPunct/>
        <w:topLinePunct w:val="0"/>
        <w:bidi w:val="0"/>
        <w:adjustRightInd/>
        <w:snapToGrid/>
        <w:outlineLvl w:val="9"/>
        <w:rPr>
          <w:rFonts w:hint="default" w:ascii="Times New Roman" w:hAnsi="Times New Roman" w:cs="Times New Roman"/>
        </w:rPr>
      </w:pPr>
    </w:p>
    <w:p w14:paraId="3BABB9D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  (公章)                              承包人：  (公章)</w:t>
      </w:r>
    </w:p>
    <w:p w14:paraId="6D3E38AA">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8E64BD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法定代表人或其委托代理人：                    法定代表人或其委托代理人：</w:t>
      </w:r>
    </w:p>
    <w:p w14:paraId="2DCCE558">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（签字）                                      （签字）</w:t>
      </w:r>
    </w:p>
    <w:p w14:paraId="3C385CEE">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p>
    <w:p w14:paraId="6C91D03C">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组织机构代码：                                组织机构代码：         </w:t>
      </w:r>
    </w:p>
    <w:p w14:paraId="4046675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地  址：                                      地  址： </w:t>
      </w:r>
    </w:p>
    <w:p w14:paraId="16B8002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邮政编码：                                    邮政编码：</w:t>
      </w:r>
    </w:p>
    <w:p w14:paraId="6BFAFCB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法定代表人：                                  法定代表人：           </w:t>
      </w:r>
    </w:p>
    <w:p w14:paraId="5D49F56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委托代理人：                                  委托代理人：            </w:t>
      </w:r>
    </w:p>
    <w:p w14:paraId="59D800CC">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  话：                                      电  话：</w:t>
      </w:r>
    </w:p>
    <w:p w14:paraId="5F1F78C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传  真：                                      传  真： </w:t>
      </w:r>
    </w:p>
    <w:p w14:paraId="31B38D7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电子信箱：</w:t>
      </w:r>
    </w:p>
    <w:p w14:paraId="6BF7F1DD">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开户银行：                                    开户银行：</w:t>
      </w:r>
    </w:p>
    <w:p w14:paraId="340A671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账  号：                                      账  号：</w:t>
      </w:r>
    </w:p>
    <w:p w14:paraId="2C98104D">
      <w:pPr>
        <w:bidi w:val="0"/>
        <w:jc w:val="center"/>
        <w:outlineLvl w:val="1"/>
        <w:rPr>
          <w:rFonts w:hint="default" w:ascii="Times New Roman" w:hAnsi="Times New Roman" w:eastAsia="仿宋_GB2312" w:cs="Times New Roman"/>
          <w:sz w:val="32"/>
          <w:szCs w:val="32"/>
        </w:rPr>
      </w:pPr>
      <w:bookmarkStart w:id="570" w:name="_Toc5630"/>
      <w:bookmarkStart w:id="571" w:name="_Toc2157"/>
      <w:bookmarkStart w:id="572" w:name="_Toc21372"/>
      <w:bookmarkStart w:id="573" w:name="_Toc21489"/>
      <w:bookmarkStart w:id="574" w:name="_Toc12932"/>
      <w:r>
        <w:rPr>
          <w:rFonts w:hint="default" w:ascii="Times New Roman" w:hAnsi="Times New Roman" w:eastAsia="仿宋_GB2312" w:cs="Times New Roman"/>
          <w:sz w:val="32"/>
          <w:szCs w:val="32"/>
        </w:rPr>
        <w:t>第二节 专用合同条款</w:t>
      </w:r>
      <w:bookmarkEnd w:id="570"/>
      <w:bookmarkEnd w:id="571"/>
      <w:bookmarkEnd w:id="572"/>
      <w:bookmarkEnd w:id="573"/>
      <w:bookmarkEnd w:id="574"/>
    </w:p>
    <w:p w14:paraId="49FD2E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75" w:name="_Toc21822"/>
      <w:bookmarkStart w:id="576" w:name="_Toc9251"/>
      <w:bookmarkStart w:id="577" w:name="_Toc32210"/>
      <w:r>
        <w:rPr>
          <w:rFonts w:hint="default" w:ascii="Times New Roman" w:hAnsi="Times New Roman" w:eastAsia="仿宋" w:cs="Times New Roman"/>
          <w:sz w:val="24"/>
        </w:rPr>
        <w:t>1.一般约定</w:t>
      </w:r>
      <w:bookmarkEnd w:id="575"/>
      <w:bookmarkEnd w:id="576"/>
      <w:bookmarkEnd w:id="577"/>
    </w:p>
    <w:p w14:paraId="624E198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 词语定义</w:t>
      </w:r>
    </w:p>
    <w:p w14:paraId="4746F47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1.1.1合同</w:t>
      </w:r>
    </w:p>
    <w:p w14:paraId="77D062D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1.1.1.1其他合同文件包括：                    </w:t>
      </w:r>
    </w:p>
    <w:p w14:paraId="57ABC2D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73ECD47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1.1.2合同当事人及其他相关方</w:t>
      </w:r>
    </w:p>
    <w:p w14:paraId="72BABFF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监理人：</w:t>
      </w:r>
    </w:p>
    <w:p w14:paraId="0DD8FE6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名    称：   ；</w:t>
      </w:r>
    </w:p>
    <w:p w14:paraId="6103605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资质类别和等级：      ；</w:t>
      </w:r>
    </w:p>
    <w:p w14:paraId="04B1A4F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55EC096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41A5EFA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      。</w:t>
      </w:r>
    </w:p>
    <w:p w14:paraId="38F3DFC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设计人：</w:t>
      </w:r>
    </w:p>
    <w:p w14:paraId="0D9545B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名    称：    ；</w:t>
      </w:r>
    </w:p>
    <w:p w14:paraId="39ADAE6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资质类别和等级：        ；</w:t>
      </w:r>
    </w:p>
    <w:p w14:paraId="690BE7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2B055A8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7A9DDDC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    。</w:t>
      </w:r>
    </w:p>
    <w:p w14:paraId="5480813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1.1.3工程和设备</w:t>
      </w:r>
    </w:p>
    <w:p w14:paraId="7A79CE2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1.1.3.</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 xml:space="preserve">作为施工现场组成部分的其他场所包括：           </w:t>
      </w:r>
    </w:p>
    <w:p w14:paraId="2A877DA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614CADF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联络</w:t>
      </w:r>
    </w:p>
    <w:p w14:paraId="15199EC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.1发包人和承包人应当在   天内将与合同有关的通知、批准、证明、证书、指示、指令、要求、请求、同意、意见、确定和决定等书面函件送达对方当事人。</w:t>
      </w:r>
    </w:p>
    <w:p w14:paraId="4F75814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78" w:name="_Toc1469"/>
      <w:bookmarkStart w:id="579" w:name="_Toc17857"/>
      <w:bookmarkStart w:id="580" w:name="_Toc9408"/>
      <w:r>
        <w:rPr>
          <w:rFonts w:hint="default" w:ascii="Times New Roman" w:hAnsi="Times New Roman" w:eastAsia="仿宋" w:cs="Times New Roman"/>
          <w:sz w:val="24"/>
        </w:rPr>
        <w:t>2.发包人</w:t>
      </w:r>
      <w:bookmarkEnd w:id="578"/>
      <w:bookmarkEnd w:id="579"/>
      <w:bookmarkEnd w:id="580"/>
    </w:p>
    <w:p w14:paraId="370F2B5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2.1发包人代表</w:t>
      </w:r>
    </w:p>
    <w:p w14:paraId="01FE29D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发包人代表：</w:t>
      </w:r>
    </w:p>
    <w:p w14:paraId="27B8FF3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姓    名：  ；</w:t>
      </w:r>
    </w:p>
    <w:p w14:paraId="3C7251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身份证号： ；</w:t>
      </w:r>
    </w:p>
    <w:p w14:paraId="2DDE89B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职    务： ；</w:t>
      </w:r>
    </w:p>
    <w:p w14:paraId="4362E15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368B7EE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30C6106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w:t>
      </w:r>
    </w:p>
    <w:p w14:paraId="04283C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发包人对发包人代表的授权范围如下：负责本工程建设的相关事宜(含工程管理、现场签证、款项支付等) 。</w:t>
      </w:r>
    </w:p>
    <w:p w14:paraId="041AA30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不实行监理的（1）依照法律、法规及有关技术标准、设计文件和建设工程承包合同，对承包人在施工质量、建设工期、进度、安全文明施工、环境保护和建设资金使用等方面，代表发包人进行监督。（2）认为工程施工不符合工程设计要求、施工技术标准和合同约定时，有权要求承包人改正。初审月进度计划表和当月产值统计报表。对技术核定单、经济签证有初审权（甲方签字认可并盖章后生效），做好施工日志和相关记录。</w:t>
      </w:r>
    </w:p>
    <w:p w14:paraId="4444DC7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2.2施工现场、施工条件和基础资料的提供</w:t>
      </w:r>
    </w:p>
    <w:p w14:paraId="0EF1EFD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2.2.1提供施工现场</w:t>
      </w:r>
    </w:p>
    <w:p w14:paraId="3AF7BF9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关于发包人移交施工现场的期限要求：            。</w:t>
      </w:r>
    </w:p>
    <w:p w14:paraId="44BB75C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2.2.2提供施工条件</w:t>
      </w:r>
    </w:p>
    <w:p w14:paraId="08C44E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关于发包人应负责提供施工所需要的条件，包括：</w:t>
      </w:r>
    </w:p>
    <w:p w14:paraId="343B2D4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（1）将施工所需的水、电、通讯线路接至施工场地的时间、地点和供应要求：                                       。</w:t>
      </w:r>
    </w:p>
    <w:p w14:paraId="3D8A258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（2）施工场地与公共道路通道开通的时间和要求：       。</w:t>
      </w:r>
    </w:p>
    <w:p w14:paraId="65B214A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（3）由发包人办理的施工所需所证、批件的名称和完成时间： 在合同签订后7日内办理，不影响承包人施工。</w:t>
      </w:r>
    </w:p>
    <w:p w14:paraId="0737566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81" w:name="_Toc21232"/>
      <w:bookmarkStart w:id="582" w:name="_Toc20222"/>
      <w:bookmarkStart w:id="583" w:name="_Toc14989"/>
      <w:r>
        <w:rPr>
          <w:rFonts w:hint="default" w:ascii="Times New Roman" w:hAnsi="Times New Roman" w:eastAsia="仿宋" w:cs="Times New Roman"/>
          <w:sz w:val="24"/>
        </w:rPr>
        <w:t>3.承包人</w:t>
      </w:r>
      <w:bookmarkEnd w:id="581"/>
      <w:bookmarkEnd w:id="582"/>
      <w:bookmarkEnd w:id="583"/>
    </w:p>
    <w:p w14:paraId="5B3982C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3.1承包人的一般义务</w:t>
      </w:r>
    </w:p>
    <w:p w14:paraId="4F4C19E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（1）承包人提交的竣工资料的内容：                      </w:t>
      </w:r>
    </w:p>
    <w:p w14:paraId="74DE60A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540A42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承包人需要提交的竣工资料套数：                       。</w:t>
      </w:r>
    </w:p>
    <w:p w14:paraId="279063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承包人提交的竣工资料的费用承担：                     。</w:t>
      </w:r>
    </w:p>
    <w:p w14:paraId="508329C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承包人提交的竣工资料移交时间：                       。</w:t>
      </w:r>
    </w:p>
    <w:p w14:paraId="23D7CA3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承包人提交的竣工资料形式要求：                       。</w:t>
      </w:r>
    </w:p>
    <w:p w14:paraId="209F78D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（2）承包人应履行的其他义务：</w:t>
      </w:r>
    </w:p>
    <w:p w14:paraId="3A2E11C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a.完成深化设计文件提交时间：            </w:t>
      </w:r>
    </w:p>
    <w:p w14:paraId="0E692DB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b.应提供计划、报表的名称及完成时间：每周一上午10点前向发包人提交上周完成主要工程量和形象进度情况，并提交本周工作计划。     </w:t>
      </w:r>
    </w:p>
    <w:p w14:paraId="5AE766D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c.承担施工安全保卫工作及非夜间施工照明的责任和要求：由承包方承担相应责任和费用 </w:t>
      </w:r>
    </w:p>
    <w:p w14:paraId="22B240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d.向发包人提供的办公和生活房屋及设施的要求：无 </w:t>
      </w:r>
    </w:p>
    <w:p w14:paraId="6763FC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e.需承包人办理的有关施工场地交通、环卫和施工噪音管理手续： 按建设行政主管部门有关规定执行 </w:t>
      </w:r>
    </w:p>
    <w:p w14:paraId="7851F78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f.已完工程成品保护的特殊要求及费用承担：             。     </w:t>
      </w:r>
    </w:p>
    <w:p w14:paraId="2FA3CC1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g.施工场地周围地下管线和邻近建筑物、构筑物（含文物保护建筑）、古树名木的保护要求及费用承担：              。</w:t>
      </w:r>
    </w:p>
    <w:p w14:paraId="11AAD3B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h.施工场地清洁卫生的要求：按建设行政主管部门有关规定执行，并按发包人要求对涉及的道路每天进行清扫，费用由承包人承担。</w:t>
      </w:r>
    </w:p>
    <w:p w14:paraId="0C0591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i.消防相关工程、资料完善并确保通过消防验收。</w:t>
      </w:r>
    </w:p>
    <w:p w14:paraId="52DB52F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j.按合同约定支付竣工结算效益审计费用。</w:t>
      </w:r>
    </w:p>
    <w:p w14:paraId="70637F4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k.承包人应按有关法律规定纳税，应缴纳的税金包括在合同价格内。</w:t>
      </w:r>
    </w:p>
    <w:p w14:paraId="4E3BCCE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l.双方约定承包人应做的其他工作：属发包人办理事项，如发包人委托承包人办理，双方签订补充协议，其费用由承包人提供预算发包人同意后支付。</w:t>
      </w:r>
    </w:p>
    <w:p w14:paraId="248F201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3.2项目经理</w:t>
      </w:r>
    </w:p>
    <w:p w14:paraId="0F308CA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3.2.1项目经理：</w:t>
      </w:r>
    </w:p>
    <w:p w14:paraId="260956A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姓    名：；</w:t>
      </w:r>
    </w:p>
    <w:p w14:paraId="0AA94D1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身份证号：；</w:t>
      </w:r>
    </w:p>
    <w:p w14:paraId="675480D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建造师执业资格等级： ；</w:t>
      </w:r>
    </w:p>
    <w:p w14:paraId="4CA69D3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建造师注册证书号：；</w:t>
      </w:r>
    </w:p>
    <w:p w14:paraId="453548D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建造师执业印章号：；</w:t>
      </w:r>
    </w:p>
    <w:p w14:paraId="753B255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安全生产考核合格证书号：；</w:t>
      </w:r>
    </w:p>
    <w:p w14:paraId="3AE71DB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4C7D04C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7B4EB98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 ；</w:t>
      </w:r>
    </w:p>
    <w:p w14:paraId="5CCE967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承包人对项目经理的授权范围如下：              。</w:t>
      </w:r>
    </w:p>
    <w:p w14:paraId="71FC507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关于项目经理每月在施工现场的时间要求：     。</w:t>
      </w:r>
    </w:p>
    <w:p w14:paraId="12D9A4B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承包人未提交劳动合同，以及没有为项目经理缴纳社会保险证明的违约责任：                    。</w:t>
      </w:r>
    </w:p>
    <w:p w14:paraId="4A1D8BF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每发生一次罚款2万元，发生三次，发包人有权终止合同。</w:t>
      </w:r>
    </w:p>
    <w:p w14:paraId="581CA30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3.2.2承包人擅自更换项目经理或技术负责人的违约责任：罚款2万元/人•次；发生三次，发包人有权终止承包合同。  。</w:t>
      </w:r>
    </w:p>
    <w:p w14:paraId="08D2A39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3.2.3承包人无正当理由拒绝更换项目经理的违约责任：发包人有权终止合同 。</w:t>
      </w:r>
    </w:p>
    <w:p w14:paraId="54BE85A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3.3承包人人员</w:t>
      </w:r>
    </w:p>
    <w:p w14:paraId="2D923FD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3.3.1承包人提交项目管理机构及施工现场管理人员安排报告的期限：承包人应在接到开工通知后3天内，向监理人和发包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 承包人应按合同约定指派项目经理，并在约定的期限内到职。承包人派驻施工现场的项目经理、项目总监、主要技术负责人与响应文件承诺不符的，视同转包，发包人有权终止合同。</w:t>
      </w:r>
    </w:p>
    <w:p w14:paraId="188DAEC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3.3.2承包人无正当理由拒绝撤换主要施工管理人员的违约责任：  发包人有权终止合同  。</w:t>
      </w:r>
    </w:p>
    <w:p w14:paraId="543A49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承包人主要施工管理人员离开施工现场的批准要求：     经发包人同意  。</w:t>
      </w:r>
    </w:p>
    <w:p w14:paraId="2A064B2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承包人擅自更换主要施工管理人员的违约责任：罚款1万元/人•次；发生三次，发包人有权终止合同。</w:t>
      </w:r>
    </w:p>
    <w:p w14:paraId="22B0FA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承包人主要施工管理人员擅自离开施工现场的违约责任：每发生一次罚款1万元；发生三次，发包人有权终止合同。        。</w:t>
      </w:r>
    </w:p>
    <w:p w14:paraId="4293D78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工程照管与成品、半成品保护</w:t>
      </w:r>
    </w:p>
    <w:p w14:paraId="7F58E63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承包人负责照管工程及工程相关的材料、工程设备的起始时间：                                                     。</w:t>
      </w:r>
    </w:p>
    <w:p w14:paraId="763243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sz w:val="24"/>
          <w:lang w:val="en-US" w:eastAsia="zh-CN"/>
        </w:rPr>
        <w:t>5</w:t>
      </w:r>
      <w:r>
        <w:rPr>
          <w:rFonts w:hint="default" w:ascii="Times New Roman" w:hAnsi="Times New Roman" w:eastAsia="仿宋" w:cs="Times New Roman"/>
          <w:sz w:val="24"/>
        </w:rPr>
        <w:t>履约担保</w:t>
      </w:r>
    </w:p>
    <w:p w14:paraId="1D1B232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承包人是否提供履约担保： 提供/不提供 。</w:t>
      </w:r>
    </w:p>
    <w:p w14:paraId="3A80D0C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承包人提供履约担保的形式、金额及期限：</w:t>
      </w:r>
    </w:p>
    <w:p w14:paraId="1F04C3F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承包人应在签订合同前，按照发包人在采购文件中规定的格式或者其他经过发包人认可的格式向发包人递交一份履约担保。经过发包人事先书面认可的其他格式的履约担保，其担保条款的实质性内容应当与发包人在采购文件中规定的格式内容保持一致。履约担保的金额为合同签订价格的10%。履约担保是本合同的附件。</w:t>
      </w:r>
    </w:p>
    <w:p w14:paraId="40E93D0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59A155A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（3）履约担保应在监理人向承包人颁发(出具)工程接收证书之日后28天内退还给承包人。发包人不承担承包人与履约担保有关的任何利息或其它类似的费用或者收益。</w:t>
      </w:r>
    </w:p>
    <w:p w14:paraId="1EA0BB7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不管履约担保条款中如何约定，发包人根据担保条款提出索赔或兑现要求28天前，应通知承包人并说明导致此类索赔或兑现的违约性质或原因。但是，本项约定的通知不应理解为是在任何意义上寻求承包人或者发包人的同意。</w:t>
      </w:r>
    </w:p>
    <w:p w14:paraId="5D740EB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84" w:name="_Toc7010"/>
      <w:bookmarkStart w:id="585" w:name="_Toc14744"/>
      <w:bookmarkStart w:id="586" w:name="_Toc13501"/>
      <w:r>
        <w:rPr>
          <w:rFonts w:hint="default" w:ascii="Times New Roman" w:hAnsi="Times New Roman" w:eastAsia="仿宋" w:cs="Times New Roman"/>
          <w:sz w:val="24"/>
        </w:rPr>
        <w:t>4.监理人</w:t>
      </w:r>
      <w:bookmarkEnd w:id="584"/>
      <w:bookmarkEnd w:id="585"/>
      <w:bookmarkEnd w:id="586"/>
    </w:p>
    <w:p w14:paraId="3314EEC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4.1监理人的一般规定</w:t>
      </w:r>
    </w:p>
    <w:p w14:paraId="44CBF3B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监理人的监理内容：监理工程师依照法律、法规及有关技术标准、设计文件和建设工程承包合同，对承包人在施工质量、建设工期、进度、安全文明施工、环境保护和建设资金使用等方面，代表发包人进行监督。</w:t>
      </w:r>
    </w:p>
    <w:p w14:paraId="0278CDF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关于监理人的监理权限：监理工程师认为工程施工不符合工程设计要求、施工技术标准和合同约定时，有权要求承包人改正。 </w:t>
      </w:r>
    </w:p>
    <w:p w14:paraId="2C99418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关于监理人在施工现场的办公场所、生活场所的提供和费用承担的约定：                                                   </w:t>
      </w:r>
    </w:p>
    <w:p w14:paraId="12E36DA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4.2监理人员</w:t>
      </w:r>
    </w:p>
    <w:p w14:paraId="4D61C8D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总监理工程师：</w:t>
      </w:r>
    </w:p>
    <w:p w14:paraId="77573E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姓    名： ；</w:t>
      </w:r>
    </w:p>
    <w:p w14:paraId="2C61A2F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职    务： ；</w:t>
      </w:r>
    </w:p>
    <w:p w14:paraId="327954F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监理工程师执业资格证书号：；</w:t>
      </w:r>
    </w:p>
    <w:p w14:paraId="2F02A9E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5EB8F93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27287A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 ；</w:t>
      </w:r>
    </w:p>
    <w:p w14:paraId="167FD6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关于监理人的其他约定： 。</w:t>
      </w:r>
    </w:p>
    <w:p w14:paraId="1559E7F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商定或确定</w:t>
      </w:r>
    </w:p>
    <w:p w14:paraId="17C011B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在发包人和承包人不能通过协商达成一致意见时，发包人授权监理人对以下事项进行确定：</w:t>
      </w:r>
    </w:p>
    <w:p w14:paraId="7D5C1CF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                                   ；</w:t>
      </w:r>
    </w:p>
    <w:p w14:paraId="26388D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                                   ；</w:t>
      </w:r>
    </w:p>
    <w:p w14:paraId="5FE5034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                                   。</w:t>
      </w:r>
    </w:p>
    <w:p w14:paraId="4A30780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87" w:name="_Toc21202"/>
      <w:bookmarkStart w:id="588" w:name="_Toc23529"/>
      <w:bookmarkStart w:id="589" w:name="_Toc1152"/>
      <w:r>
        <w:rPr>
          <w:rFonts w:hint="default" w:ascii="Times New Roman" w:hAnsi="Times New Roman" w:eastAsia="仿宋" w:cs="Times New Roman"/>
          <w:sz w:val="24"/>
        </w:rPr>
        <w:t>5.工程质量</w:t>
      </w:r>
      <w:bookmarkEnd w:id="587"/>
      <w:bookmarkEnd w:id="588"/>
      <w:bookmarkEnd w:id="589"/>
    </w:p>
    <w:p w14:paraId="19CDE92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5.1质量要求</w:t>
      </w:r>
    </w:p>
    <w:p w14:paraId="5A26394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5.1.1特殊质量标准和要求：                             </w:t>
      </w:r>
    </w:p>
    <w:p w14:paraId="48F4D36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4A68E50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关于工程奖项的约定：                                  </w:t>
      </w:r>
    </w:p>
    <w:p w14:paraId="4BBFA6F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627E16E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90" w:name="_Toc32007"/>
      <w:bookmarkStart w:id="591" w:name="_Toc18013"/>
      <w:bookmarkStart w:id="592" w:name="_Toc23781"/>
      <w:r>
        <w:rPr>
          <w:rFonts w:hint="default" w:ascii="Times New Roman" w:hAnsi="Times New Roman" w:eastAsia="仿宋" w:cs="Times New Roman"/>
          <w:sz w:val="24"/>
        </w:rPr>
        <w:t>6.安全文明施工与环境保护</w:t>
      </w:r>
      <w:bookmarkEnd w:id="590"/>
      <w:bookmarkEnd w:id="591"/>
      <w:bookmarkEnd w:id="592"/>
    </w:p>
    <w:p w14:paraId="6773D39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6.1安全文明施工</w:t>
      </w:r>
    </w:p>
    <w:p w14:paraId="115B4BF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6.1.1项目安全生产的达标目标及相应事项的约定：         </w:t>
      </w:r>
    </w:p>
    <w:p w14:paraId="060F7C3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42F830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6.1.</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 xml:space="preserve">关于治安保卫的特别约定：                         </w:t>
      </w:r>
    </w:p>
    <w:p w14:paraId="66D5C24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34B4B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关于编制施工场地治安管理计划的约定：                  </w:t>
      </w:r>
    </w:p>
    <w:p w14:paraId="4E592A9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270850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6.1.</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文明施工</w:t>
      </w:r>
    </w:p>
    <w:p w14:paraId="6B12253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合同当事人对文明施工的要求：                          </w:t>
      </w:r>
    </w:p>
    <w:p w14:paraId="6CA8F8F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65769D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6.1.</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关于安全文明施工费支付比例和支付期限的约定：安全文明施工费的计量、支付与结算按川建发〔2017〕5号执行。</w:t>
      </w:r>
    </w:p>
    <w:p w14:paraId="77B16C0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93" w:name="_Toc27534"/>
      <w:bookmarkStart w:id="594" w:name="_Toc12781"/>
      <w:bookmarkStart w:id="595" w:name="_Toc27433"/>
      <w:r>
        <w:rPr>
          <w:rFonts w:hint="default" w:ascii="Times New Roman" w:hAnsi="Times New Roman" w:eastAsia="仿宋" w:cs="Times New Roman"/>
          <w:sz w:val="24"/>
        </w:rPr>
        <w:t>7.工期和进度</w:t>
      </w:r>
      <w:bookmarkEnd w:id="593"/>
      <w:bookmarkEnd w:id="594"/>
      <w:bookmarkEnd w:id="595"/>
    </w:p>
    <w:p w14:paraId="103E443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7.1施工组织设计</w:t>
      </w:r>
    </w:p>
    <w:p w14:paraId="2AED997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7.1.1合同当事人约定的施工组织设计应包括的其他内容：   </w:t>
      </w:r>
    </w:p>
    <w:p w14:paraId="23F116D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9FFF97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7.1.2施工组织设计的提交和修改</w:t>
      </w:r>
    </w:p>
    <w:p w14:paraId="7082153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承包人提交详细施工组织设计的期限的约定：              </w:t>
      </w:r>
    </w:p>
    <w:p w14:paraId="30E2BDB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25C9F5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发包人和监理人在收到详细的施工组织设计后确认或提出修改意见的期限：                                             。</w:t>
      </w:r>
    </w:p>
    <w:p w14:paraId="6EF456E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7.2施工进度计划</w:t>
      </w:r>
    </w:p>
    <w:p w14:paraId="563C167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7.2.</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施工进度计划的修订</w:t>
      </w:r>
    </w:p>
    <w:p w14:paraId="728D8A1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提供施工组织设计（施工方案）和进度计划的时间：按响应文件的施工组织设计（施工方案）和进度计划执行，发包人若要求对响应文件中施工组织设计（施工方案）和进度计划进行局部的修改或补充，承包人应在合同签订后3日内提供。 </w:t>
      </w:r>
    </w:p>
    <w:p w14:paraId="6E23345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发包人和监理人在收到修订的施工进度计划后确认或提出修改意见的期限：收到承包人提供的修改或补充施工组织设计（施工方案）和进度计划后3日内  。</w:t>
      </w:r>
    </w:p>
    <w:p w14:paraId="7B1E2AE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7.5工期延误</w:t>
      </w:r>
    </w:p>
    <w:p w14:paraId="29BB6E3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7.5.1因发包人原因导致工期延误</w:t>
      </w:r>
    </w:p>
    <w:p w14:paraId="7C304E4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（7）因发包人原因导致工期延误的其他情形：在施工网络图中非关键线路上因增加工程量或工程项目造成的工期增加未超过关键线路上的工期，不予延期。</w:t>
      </w:r>
    </w:p>
    <w:p w14:paraId="08D0202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7.5.2因承包人原因导致工期延误</w:t>
      </w:r>
    </w:p>
    <w:p w14:paraId="3F49894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因承包人原因造成工期延误，逾期竣工违约金的计算方法为：</w:t>
      </w:r>
    </w:p>
    <w:p w14:paraId="2DAF0D7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承包人必须按照采购人要求的时间进场施工，每延误一天进场扣除履约保证金的1%，若延期超过30天，自动解除本合同，履约保证金不予退还。承包人逾期竣工，每逾期一天扣工程款10000元。</w:t>
      </w:r>
    </w:p>
    <w:p w14:paraId="7E66C1E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因承包人原因造成工期延误，逾期竣工违约金的上限：签约合同价款的10% 。</w:t>
      </w:r>
    </w:p>
    <w:p w14:paraId="47D0552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96" w:name="_Toc23604"/>
      <w:bookmarkStart w:id="597" w:name="_Toc260"/>
      <w:bookmarkStart w:id="598" w:name="_Toc31002"/>
      <w:r>
        <w:rPr>
          <w:rFonts w:hint="default" w:ascii="Times New Roman" w:hAnsi="Times New Roman" w:eastAsia="仿宋" w:cs="Times New Roman"/>
          <w:sz w:val="24"/>
        </w:rPr>
        <w:t>8.施工设备和临时设施</w:t>
      </w:r>
      <w:bookmarkEnd w:id="596"/>
      <w:bookmarkEnd w:id="597"/>
      <w:bookmarkEnd w:id="598"/>
    </w:p>
    <w:p w14:paraId="55DD1F5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8.1承包人提供的施工设备和临时设施</w:t>
      </w:r>
    </w:p>
    <w:p w14:paraId="5B4ADB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关于修建临时设施费用承担的约定：  所有工程建设需要修建的临时设施所产生的费用，均由承包人承担，并考虑进入投标报价中。</w:t>
      </w:r>
    </w:p>
    <w:p w14:paraId="2E4F7F0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99" w:name="_Toc6291"/>
      <w:bookmarkStart w:id="600" w:name="_Toc22900"/>
      <w:bookmarkStart w:id="601" w:name="_Toc12451"/>
      <w:r>
        <w:rPr>
          <w:rFonts w:hint="default" w:ascii="Times New Roman" w:hAnsi="Times New Roman" w:eastAsia="仿宋" w:cs="Times New Roman"/>
          <w:sz w:val="24"/>
        </w:rPr>
        <w:t>9.价格调整</w:t>
      </w:r>
      <w:bookmarkEnd w:id="599"/>
      <w:bookmarkEnd w:id="600"/>
      <w:bookmarkEnd w:id="601"/>
    </w:p>
    <w:p w14:paraId="669C4CC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9.1市场价格波动引起的调整</w:t>
      </w:r>
    </w:p>
    <w:p w14:paraId="73E79FD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市场价格波动是否调整合同价格的约定：  不调整      。</w:t>
      </w:r>
    </w:p>
    <w:p w14:paraId="10050D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因市场价格波动调整合同价格，采用以下第    种方式对合同价格进行调整：</w:t>
      </w:r>
    </w:p>
    <w:p w14:paraId="08D3784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第1种方式：采用价格指数进行价格调整。</w:t>
      </w:r>
    </w:p>
    <w:p w14:paraId="7EA578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关于各可调因子、定值和变值权重，以及基本价格指数及其来源的约定：                                                ；  </w:t>
      </w:r>
    </w:p>
    <w:p w14:paraId="7D6FB7C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第2种方式：采用造价信息进行价格调整。</w:t>
      </w:r>
    </w:p>
    <w:p w14:paraId="47777B7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（2）关于基准价格的约定：                         。</w:t>
      </w:r>
    </w:p>
    <w:p w14:paraId="2C4EA53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专用合同条款①承包人在已标价工程量清单或预算书中载明的材料单价低于基准价格的：专用合同条款合同履行期间材料单价涨幅以基准价格为基础超过   %时，或材料单价跌幅以已标价工程量清单或预算书中载明材料单价为基础超过   %时，其超过部分据实调整。</w:t>
      </w:r>
    </w:p>
    <w:p w14:paraId="476F694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②承包人在已标价工程量清单或预算书中载明的材料单价高于基准价格的：专用合同条款合同履行期间材料单价跌幅以基准价格为基础超过   %时，材料单价涨幅以已标价工程量清单或预算书中载明材料单价为基础超过   %时，其超过部分据实调整。</w:t>
      </w:r>
    </w:p>
    <w:p w14:paraId="77C4E23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③承包人在已标价工程量清单或预算书中载明的材料单价等于基准单价的：专用合同条款合同履行期间材料单价涨跌幅以基准单价为基础超过±   %时，其超过部分据实调整。</w:t>
      </w:r>
    </w:p>
    <w:p w14:paraId="40256B7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第3种方式：其他价格调整方式：                        </w:t>
      </w:r>
    </w:p>
    <w:p w14:paraId="47068AB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29B89D6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02" w:name="_Toc19927"/>
      <w:bookmarkStart w:id="603" w:name="_Toc15079"/>
      <w:bookmarkStart w:id="604" w:name="_Toc26312"/>
      <w:r>
        <w:rPr>
          <w:rFonts w:hint="default" w:ascii="Times New Roman" w:hAnsi="Times New Roman" w:eastAsia="仿宋" w:cs="Times New Roman"/>
          <w:sz w:val="24"/>
        </w:rPr>
        <w:t>10.合同价格、计量与支付</w:t>
      </w:r>
      <w:bookmarkEnd w:id="602"/>
      <w:bookmarkEnd w:id="603"/>
      <w:bookmarkEnd w:id="604"/>
    </w:p>
    <w:p w14:paraId="057F3D7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10.1合同价格形式</w:t>
      </w:r>
    </w:p>
    <w:p w14:paraId="382914B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05" w:name="_Toc25163"/>
      <w:bookmarkStart w:id="606" w:name="_Toc24326"/>
      <w:bookmarkStart w:id="607" w:name="_Toc26594"/>
      <w:r>
        <w:rPr>
          <w:rFonts w:hint="default" w:ascii="Times New Roman" w:hAnsi="Times New Roman" w:eastAsia="仿宋" w:cs="Times New Roman"/>
          <w:sz w:val="24"/>
        </w:rPr>
        <w:t>1、单价合同。</w:t>
      </w:r>
      <w:bookmarkEnd w:id="605"/>
      <w:bookmarkEnd w:id="606"/>
      <w:bookmarkEnd w:id="607"/>
    </w:p>
    <w:p w14:paraId="0997272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综合单价包含的风险范围：承包人投标报价的分部分项工程量清单综合单价、措施项目清单综合单价以及其他项目清单综合单价均包括人工费、机械费、材料费、管理费、利润及相应风险费用。</w:t>
      </w:r>
    </w:p>
    <w:p w14:paraId="14C6BB8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风险费用的计算方法： /                      。</w:t>
      </w:r>
    </w:p>
    <w:p w14:paraId="66BA129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风险范围以外合同价格的调整方法：以投标截止日前28天为基准日，其后法律、法规、规章和政策发生变化，并由省建设行政主管部门或其授权的工程造价管理机构根据上述变化发布了工程造价中税金、规费、安全文明施工费及人工费等政策性调整的，承包人不承担此类风险，应按照有关调整规定执行。</w:t>
      </w:r>
    </w:p>
    <w:p w14:paraId="0557FA3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10.2预付款</w:t>
      </w:r>
    </w:p>
    <w:p w14:paraId="52F138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10.2.1预付款的支付</w:t>
      </w:r>
    </w:p>
    <w:p w14:paraId="4FCB081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预付款支付比例或金额：                                。</w:t>
      </w:r>
    </w:p>
    <w:p w14:paraId="14B16DC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预付款支付期限：                                      。</w:t>
      </w:r>
    </w:p>
    <w:p w14:paraId="459365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预付款扣回的方式：                                    。</w:t>
      </w:r>
    </w:p>
    <w:p w14:paraId="3190BF9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10.3计量</w:t>
      </w:r>
    </w:p>
    <w:p w14:paraId="545992D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10.3.1计量原则</w:t>
      </w:r>
    </w:p>
    <w:p w14:paraId="1CA1FA3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工程量计算规则： 按建设工程工程量清单计价规范（GB50500-2013），若招标工程量清单中有特殊说明的，按特殊说明的计算规则计算  。</w:t>
      </w:r>
    </w:p>
    <w:p w14:paraId="75705E5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717B40A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10.3.1.1总价措施项目的计量</w:t>
      </w:r>
    </w:p>
    <w:p w14:paraId="5E02A0E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总价措施项目清单中的项目（除环境保护、安全施工、文明施工、临时设施等以费率计价的项目以外），包干计取，结算不作调整；进度支付时按发包人确认后的工程形象进度比例按月计量。</w:t>
      </w:r>
    </w:p>
    <w:p w14:paraId="1822DA6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安全文明施工费的计量、支付与结算按川建发〔2017〕5号执行。</w:t>
      </w:r>
    </w:p>
    <w:p w14:paraId="2C43BAE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10.3.1.2规费的计量</w:t>
      </w:r>
    </w:p>
    <w:p w14:paraId="614E585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按建设行政主管部门核定的承包人规费费率计量和结算。</w:t>
      </w:r>
    </w:p>
    <w:p w14:paraId="45D9A9F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10.3.1.3税金</w:t>
      </w:r>
    </w:p>
    <w:p w14:paraId="3FB3A6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税金按国家或省级、行业建设主管部门的规定计取。</w:t>
      </w:r>
    </w:p>
    <w:p w14:paraId="57E5D72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10.3.2计量周期</w:t>
      </w:r>
    </w:p>
    <w:p w14:paraId="01F308E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关于计量周期的约定：                                  。</w:t>
      </w:r>
    </w:p>
    <w:p w14:paraId="423A3C5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10.3.3单价合同的计量</w:t>
      </w:r>
    </w:p>
    <w:p w14:paraId="63550A4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关于单价合同计量的约定：工程量按实际发生的工程量计算。施工过程中如遇工程量变更情况，承包人通知发包人、监理一并到现场踏勘，并填写《现场踏勘记录》，按记录工程量进行结算   。</w:t>
      </w:r>
    </w:p>
    <w:p w14:paraId="090502A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10.3.4总价合同的计量</w:t>
      </w:r>
    </w:p>
    <w:p w14:paraId="1367C78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关于总价合同计量的约定：                              。</w:t>
      </w:r>
    </w:p>
    <w:p w14:paraId="2A54316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10.3.5总价合同采用支付分解表计量支付的，是否适用第12.3.4 项〔总价合同的计量〕约定进行计量：                     。</w:t>
      </w:r>
    </w:p>
    <w:p w14:paraId="18B8FCC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10.3.6其他价格形式合同的计量</w:t>
      </w:r>
    </w:p>
    <w:p w14:paraId="6FBAA94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其他价格形式的计量方式和程序：                         </w:t>
      </w:r>
    </w:p>
    <w:p w14:paraId="00DD261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572274A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10.4工程进度款支付</w:t>
      </w:r>
    </w:p>
    <w:p w14:paraId="509D484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10.4.1付款周期</w:t>
      </w:r>
    </w:p>
    <w:p w14:paraId="5D3B6CF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关于付款周期的约定：</w:t>
      </w:r>
    </w:p>
    <w:p w14:paraId="35CF8D6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（1）合同签订后，比选人向中选人支付至成交金额的30%。</w:t>
      </w:r>
    </w:p>
    <w:p w14:paraId="149217E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（2）项目</w:t>
      </w:r>
      <w:r>
        <w:rPr>
          <w:rFonts w:hint="eastAsia" w:ascii="Times New Roman" w:eastAsia="仿宋" w:cs="Times New Roman"/>
          <w:sz w:val="24"/>
          <w:lang w:val="en-US" w:eastAsia="zh-CN"/>
        </w:rPr>
        <w:t>完成60%后</w:t>
      </w:r>
      <w:r>
        <w:rPr>
          <w:rFonts w:hint="default" w:ascii="Times New Roman" w:hAnsi="Times New Roman" w:eastAsia="仿宋" w:cs="Times New Roman"/>
          <w:sz w:val="24"/>
        </w:rPr>
        <w:t>，比选人向中选人支付至成交金额的60%。</w:t>
      </w:r>
    </w:p>
    <w:p w14:paraId="3007AD3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（3）项目</w:t>
      </w:r>
      <w:r>
        <w:rPr>
          <w:rFonts w:hint="eastAsia" w:ascii="Times New Roman" w:eastAsia="仿宋" w:cs="Times New Roman"/>
          <w:sz w:val="24"/>
          <w:lang w:val="en-US" w:eastAsia="zh-CN"/>
        </w:rPr>
        <w:t>完成90%后</w:t>
      </w:r>
      <w:r>
        <w:rPr>
          <w:rFonts w:hint="default" w:ascii="Times New Roman" w:hAnsi="Times New Roman" w:eastAsia="仿宋" w:cs="Times New Roman"/>
          <w:sz w:val="24"/>
        </w:rPr>
        <w:t>，比选人向中选人支付至成交金额的90%。</w:t>
      </w:r>
    </w:p>
    <w:p w14:paraId="229ED50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（4）项目完成后，比选人向中选人支付至成交金额的97%。</w:t>
      </w:r>
    </w:p>
    <w:p w14:paraId="25FC85B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（5）质保期满后，比选人向中选人支付至成交金额的100%。</w:t>
      </w:r>
    </w:p>
    <w:p w14:paraId="1146B57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（6）比选人每次付款前，中选人应事先提供等额正规发票和相关请款资料，否则比选人有权不予付款且不承担违约责任。</w:t>
      </w:r>
    </w:p>
    <w:p w14:paraId="17BB5F0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的建设资金只能拨付给承包人在项目实施地银行开设、留有响应文件承诺的项目经理印鉴的企业法人账户。发包人支付工程款之前，承包人必须按照国家法律规定向发包人提供增值税发票。如果承包人不能按时提供合法入账票据，发包人有权拒绝对承包人进行任何形式的支付，且所引起的一切税费及损失由承包人自行承担并从发包人应支付的款项中扣减。</w:t>
      </w:r>
    </w:p>
    <w:p w14:paraId="5279B67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10.4.2进度付款申请单的编制</w:t>
      </w:r>
    </w:p>
    <w:p w14:paraId="32A9FC7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关于进度付款申请单编制的约定：                       </w:t>
      </w:r>
    </w:p>
    <w:p w14:paraId="6AE1385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6C93E1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10.4.3进度付款申请单的提交</w:t>
      </w:r>
    </w:p>
    <w:p w14:paraId="10CF503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（1）单价合同进度付款申请单提交的约定：               。</w:t>
      </w:r>
    </w:p>
    <w:p w14:paraId="70F3A59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（2）总价合同进度付款申请单提交的约定：               。</w:t>
      </w:r>
    </w:p>
    <w:p w14:paraId="10FF21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（3）其他价格形式合同进度付款申请单提交的约定：       </w:t>
      </w:r>
    </w:p>
    <w:p w14:paraId="13E00BD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743C6B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10.4.4进度款审核和支付</w:t>
      </w:r>
    </w:p>
    <w:p w14:paraId="07BE40B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（1）监理人审查并报送发包人的期限：                  。</w:t>
      </w:r>
    </w:p>
    <w:p w14:paraId="536C99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发包人完成审批并签发进度款支付证书的期限：           </w:t>
      </w:r>
    </w:p>
    <w:p w14:paraId="39E5B56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3D4E75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（2）发包人支付进度款的期限：                        。</w:t>
      </w:r>
    </w:p>
    <w:p w14:paraId="100AEA2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发包人逾期支付进度款的违约金的计算方式：            </w:t>
      </w:r>
    </w:p>
    <w:p w14:paraId="47D3351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33538A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10.4.5支付分解表的编制</w:t>
      </w:r>
    </w:p>
    <w:p w14:paraId="4744C1D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10.4.5.1总价合同支付分解表的编制与审批：                  </w:t>
      </w:r>
    </w:p>
    <w:p w14:paraId="6612296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4C0EAC6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10.4.5.2单价合同的总价项目支付分解表的编制与审批：            </w:t>
      </w:r>
    </w:p>
    <w:p w14:paraId="5A319C4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1F2734E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08" w:name="_Toc14685"/>
      <w:bookmarkStart w:id="609" w:name="_Toc12665"/>
      <w:bookmarkStart w:id="610" w:name="_Toc27172"/>
      <w:r>
        <w:rPr>
          <w:rFonts w:hint="default" w:ascii="Times New Roman" w:hAnsi="Times New Roman" w:eastAsia="仿宋" w:cs="Times New Roman"/>
          <w:sz w:val="24"/>
        </w:rPr>
        <w:t>11.验收和工程试车</w:t>
      </w:r>
      <w:bookmarkEnd w:id="608"/>
      <w:bookmarkEnd w:id="609"/>
      <w:bookmarkEnd w:id="610"/>
    </w:p>
    <w:p w14:paraId="70D2635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11.1分部分项工程验收</w:t>
      </w:r>
    </w:p>
    <w:p w14:paraId="30A525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11.1.</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监理人不能按时进行验收时，应提前       小时提交书面延期要求。</w:t>
      </w:r>
    </w:p>
    <w:p w14:paraId="66ECF8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关于延期最长不得超过：         小时。</w:t>
      </w:r>
    </w:p>
    <w:p w14:paraId="01ECC77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11.2竣工验收</w:t>
      </w:r>
    </w:p>
    <w:p w14:paraId="2BC5E2F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.2.1竣工验收程序</w:t>
      </w:r>
    </w:p>
    <w:p w14:paraId="4CAF3C0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关于竣工验收程序的约定：                              </w:t>
      </w:r>
    </w:p>
    <w:p w14:paraId="7F12993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72399EF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发包人不按照本项约定组织竣工验收、颁发工程接收证书的违约金的计算方法：                                         </w:t>
      </w:r>
    </w:p>
    <w:p w14:paraId="10752E1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1D5A22A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11.2.2移交、接收全部与部分工程</w:t>
      </w:r>
    </w:p>
    <w:p w14:paraId="1FE0425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承包人向发包人移交工程的期限：                        。</w:t>
      </w:r>
    </w:p>
    <w:p w14:paraId="7269161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发包人未按本合同约定接收全部或部分工程的，违约金的计算方法为：                                                  。</w:t>
      </w:r>
    </w:p>
    <w:p w14:paraId="0B0A93B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承包人未按时移交工程的，违约金的计算方法为：          </w:t>
      </w:r>
    </w:p>
    <w:p w14:paraId="2085D4E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4A0254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竣工退场</w:t>
      </w:r>
    </w:p>
    <w:p w14:paraId="311EBA8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.1竣工退场</w:t>
      </w:r>
    </w:p>
    <w:p w14:paraId="78FD76D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承包人完成竣工退场的期限：                            。</w:t>
      </w:r>
    </w:p>
    <w:p w14:paraId="7A3F518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11" w:name="_Toc12215"/>
      <w:bookmarkStart w:id="612" w:name="_Toc11529"/>
      <w:bookmarkStart w:id="613" w:name="_Toc32208"/>
      <w:r>
        <w:rPr>
          <w:rFonts w:hint="default" w:ascii="Times New Roman" w:hAnsi="Times New Roman" w:eastAsia="仿宋" w:cs="Times New Roman"/>
          <w:sz w:val="24"/>
        </w:rPr>
        <w:t>12.竣工结算</w:t>
      </w:r>
      <w:bookmarkEnd w:id="611"/>
      <w:bookmarkEnd w:id="612"/>
      <w:bookmarkEnd w:id="613"/>
    </w:p>
    <w:p w14:paraId="3577D84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12.1竣工结算申请</w:t>
      </w:r>
    </w:p>
    <w:p w14:paraId="332BF50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承包人提交竣工结算申请单的期限：竣工验收合格之日起14天内。</w:t>
      </w:r>
    </w:p>
    <w:p w14:paraId="1DF3A3F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竣工结算申请单应包括的内容： 完整的竣工资料3套（包括但不限于图纸、资料、工程竣工结算书等）。</w:t>
      </w:r>
    </w:p>
    <w:p w14:paraId="4E555AC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12.2竣工结算审核</w:t>
      </w:r>
    </w:p>
    <w:p w14:paraId="34C0CFF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发包人审批竣工付款申请单的期限：                      。</w:t>
      </w:r>
    </w:p>
    <w:p w14:paraId="00DFEDF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发包人完成竣工付款的期限：                            。</w:t>
      </w:r>
    </w:p>
    <w:p w14:paraId="7485E43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关于竣工付款证书异议部分复核的方式和程序：           。</w:t>
      </w:r>
    </w:p>
    <w:p w14:paraId="727D0D2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报送的工程竣工结算须经发包人委托的审计机构审核,审减金额超过承包人报审金额的5%时,超过5%部份的审减金额的审减效益费由承包人承担(审增不抵销审减),审减效益费费率按照5%计算。审增部分本着谁收益谁付费的原则，由承包人承担，审增部分的收费费率同审减效益收费费率，以审增金额为基数计算。按照合同关系,审减效益收费和审增收费均由发包人从承包人的工程价款中予以扣除后支付给审计机构。</w:t>
      </w:r>
    </w:p>
    <w:p w14:paraId="44C7511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12.3最终结清</w:t>
      </w:r>
    </w:p>
    <w:p w14:paraId="06FF1C9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12.3.1最终结清申请单</w:t>
      </w:r>
    </w:p>
    <w:p w14:paraId="6930AE5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承包人提交最终结清申请单的份数：                    。</w:t>
      </w:r>
    </w:p>
    <w:p w14:paraId="0F98270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承包人提交最终结算申请单的期限：                    。 </w:t>
      </w:r>
    </w:p>
    <w:p w14:paraId="4F9FB8C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12.3.2最终结清证书和支付</w:t>
      </w:r>
    </w:p>
    <w:p w14:paraId="0350B96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（1）发包人完成最终结清申请单的审批并颁发最终结清证书的期限：                                                  。</w:t>
      </w:r>
    </w:p>
    <w:p w14:paraId="1356AEA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（2）发包人完成支付的期限：                         。</w:t>
      </w:r>
    </w:p>
    <w:p w14:paraId="6C99289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14" w:name="_Toc9805"/>
      <w:bookmarkStart w:id="615" w:name="_Toc3433"/>
      <w:bookmarkStart w:id="616" w:name="_Toc363"/>
      <w:r>
        <w:rPr>
          <w:rFonts w:hint="default" w:ascii="Times New Roman" w:hAnsi="Times New Roman" w:eastAsia="仿宋" w:cs="Times New Roman"/>
          <w:sz w:val="24"/>
        </w:rPr>
        <w:t>13.缺陷责任期与保修</w:t>
      </w:r>
      <w:bookmarkEnd w:id="614"/>
      <w:bookmarkEnd w:id="615"/>
      <w:bookmarkEnd w:id="616"/>
    </w:p>
    <w:p w14:paraId="097A55D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13.1缺陷责任期</w:t>
      </w:r>
    </w:p>
    <w:p w14:paraId="2A76611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缺陷责任期的具体期限：从工程通过竣工验收合格之日起24个月。</w:t>
      </w:r>
    </w:p>
    <w:p w14:paraId="5B82795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13.2质量保证金</w:t>
      </w:r>
    </w:p>
    <w:p w14:paraId="61B8DE7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关于是否扣留质量保证金的约定：                      。在工程项目竣工前，承包人按专用合同条款第3.7条提供履约担保的，发包人不得同时预留工程质量保证金。</w:t>
      </w:r>
    </w:p>
    <w:p w14:paraId="05B8086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13.2.1承包人提供质量保证金的方式</w:t>
      </w:r>
    </w:p>
    <w:p w14:paraId="513D677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质量保证金采用以下第     种方式：</w:t>
      </w:r>
    </w:p>
    <w:p w14:paraId="68354DA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（1）质量保证金保函，保证金额为：                   ； </w:t>
      </w:r>
    </w:p>
    <w:p w14:paraId="499078A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      %的工程款；</w:t>
      </w:r>
    </w:p>
    <w:p w14:paraId="50EC35E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（3）其他方式:                                       。</w:t>
      </w:r>
    </w:p>
    <w:p w14:paraId="2D07A74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13.2.2质量保证金的扣留 </w:t>
      </w:r>
    </w:p>
    <w:p w14:paraId="0C932F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质量保证金的扣留采取以下第   （2）  种方式：</w:t>
      </w:r>
    </w:p>
    <w:p w14:paraId="37DC1B4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（1）在支付工程进度款时逐次扣留，在此情形下，质量保证金的计算基数不包括预付款的支付、扣回以及价格调整的金额；</w:t>
      </w:r>
    </w:p>
    <w:p w14:paraId="0E515B8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（2）工程竣工结算时一次性扣留质量保证金；</w:t>
      </w:r>
    </w:p>
    <w:p w14:paraId="3438AB4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（3）其他扣留方式:                                     。</w:t>
      </w:r>
    </w:p>
    <w:p w14:paraId="00D32A1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关于质量保证金的补充约定：                            </w:t>
      </w:r>
    </w:p>
    <w:p w14:paraId="2CBFF5A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6614260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13.3保修</w:t>
      </w:r>
    </w:p>
    <w:p w14:paraId="26977C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13.3.1保修责任</w:t>
      </w:r>
    </w:p>
    <w:p w14:paraId="3F77952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工程保修期为：                                        </w:t>
      </w:r>
    </w:p>
    <w:p w14:paraId="5928D88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280160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13.3.</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修复通知</w:t>
      </w:r>
    </w:p>
    <w:p w14:paraId="0A1A406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承包人收到保修通知并到达工程现场的合理时间：          </w:t>
      </w:r>
    </w:p>
    <w:p w14:paraId="5CDE2A3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4937CD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17" w:name="_Toc28915"/>
      <w:bookmarkStart w:id="618" w:name="_Toc16602"/>
      <w:bookmarkStart w:id="619" w:name="_Toc24443"/>
      <w:r>
        <w:rPr>
          <w:rFonts w:hint="default" w:ascii="Times New Roman" w:hAnsi="Times New Roman" w:eastAsia="仿宋" w:cs="Times New Roman"/>
          <w:sz w:val="24"/>
        </w:rPr>
        <w:t>14.违约</w:t>
      </w:r>
      <w:bookmarkEnd w:id="617"/>
      <w:bookmarkEnd w:id="618"/>
      <w:bookmarkEnd w:id="619"/>
    </w:p>
    <w:p w14:paraId="4B06867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14.1发包人违约</w:t>
      </w:r>
    </w:p>
    <w:p w14:paraId="37A0F96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14.1.1发包人违约的情形</w:t>
      </w:r>
    </w:p>
    <w:p w14:paraId="58CCC28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发包人违约的其他情形：                                </w:t>
      </w:r>
    </w:p>
    <w:p w14:paraId="13EE25B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24C62C7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14.1.2发包人违约的责任</w:t>
      </w:r>
    </w:p>
    <w:p w14:paraId="4467ED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发包人违约责任的承担方式和计算方法：</w:t>
      </w:r>
    </w:p>
    <w:p w14:paraId="4AE052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（1）因发包人原因未能在计划开工日期前7天内下达开工通知的违约责任：                                             。</w:t>
      </w:r>
    </w:p>
    <w:p w14:paraId="72D4EA4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（2）因发包人原因未能按合同约定支付合同价款的违约责任：                                                      。</w:t>
      </w:r>
    </w:p>
    <w:p w14:paraId="76078CE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（3）发包人提供的材料、工程设备的规格、数量或质量不符合合同约定，或因发包人原因导致交货日期延误或交货地点变更等情况的违约责任：                                           。</w:t>
      </w:r>
    </w:p>
    <w:p w14:paraId="236A622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 xml:space="preserve">）因发包人违反合同约定造成暂停施工的违约责任：     </w:t>
      </w:r>
    </w:p>
    <w:p w14:paraId="1791BA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A329C4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5</w:t>
      </w:r>
      <w:r>
        <w:rPr>
          <w:rFonts w:hint="default" w:ascii="Times New Roman" w:hAnsi="Times New Roman" w:eastAsia="仿宋" w:cs="Times New Roman"/>
          <w:sz w:val="24"/>
        </w:rPr>
        <w:t>）发包人无正当理由没有在约定期限内发出复工指示，导致承包人无法复工的违约责任：                               。</w:t>
      </w:r>
    </w:p>
    <w:p w14:paraId="541CE5E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6</w:t>
      </w:r>
      <w:r>
        <w:rPr>
          <w:rFonts w:hint="default" w:ascii="Times New Roman" w:hAnsi="Times New Roman" w:eastAsia="仿宋" w:cs="Times New Roman"/>
          <w:sz w:val="24"/>
        </w:rPr>
        <w:t>）其他：                                          。</w:t>
      </w:r>
    </w:p>
    <w:p w14:paraId="0A7E431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14.1.3因发包人违约解除合同</w:t>
      </w:r>
    </w:p>
    <w:p w14:paraId="61ED172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承包人按16.1.1项〔发包人违约的情形〕约定暂停施工满    天后发包人仍不纠正其违约行为并致使合同目的不能实现的，承包人有权解除合同。</w:t>
      </w:r>
    </w:p>
    <w:p w14:paraId="44170D0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14.2承包人违约</w:t>
      </w:r>
    </w:p>
    <w:p w14:paraId="26226F1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14.2.1承包人违约的情形</w:t>
      </w:r>
    </w:p>
    <w:p w14:paraId="476FD28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承包人违约的其他情形：                                </w:t>
      </w:r>
    </w:p>
    <w:p w14:paraId="3CF54B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5B95E62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14.2.2承包人违约的责任</w:t>
      </w:r>
    </w:p>
    <w:p w14:paraId="2EEB39D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承包人违约责任的承担方式和计算方法：                  </w:t>
      </w:r>
    </w:p>
    <w:p w14:paraId="7A0D5E6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    </w:t>
      </w:r>
    </w:p>
    <w:p w14:paraId="212073F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14.2.3因承包人违约解除合同</w:t>
      </w:r>
    </w:p>
    <w:p w14:paraId="56231E1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关于承包人违约解除合同的特别约定：                    </w:t>
      </w:r>
    </w:p>
    <w:p w14:paraId="311C359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1D24AC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发包人继续使用承包人在施工现场的材料、设备、临时工程、承包人文件和由承包人或以其名义编制的其他文件的费用承担方式：                                                     。</w:t>
      </w:r>
    </w:p>
    <w:p w14:paraId="3FB4600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20" w:name="_Toc23670"/>
      <w:bookmarkStart w:id="621" w:name="_Toc5268"/>
      <w:bookmarkStart w:id="622" w:name="_Toc32453"/>
      <w:r>
        <w:rPr>
          <w:rFonts w:hint="default" w:ascii="Times New Roman" w:hAnsi="Times New Roman" w:eastAsia="仿宋" w:cs="Times New Roman"/>
          <w:sz w:val="24"/>
        </w:rPr>
        <w:t>15.不可抗力</w:t>
      </w:r>
      <w:bookmarkEnd w:id="620"/>
      <w:bookmarkEnd w:id="621"/>
      <w:bookmarkEnd w:id="622"/>
      <w:r>
        <w:rPr>
          <w:rFonts w:hint="default" w:ascii="Times New Roman" w:hAnsi="Times New Roman" w:eastAsia="仿宋" w:cs="Times New Roman"/>
          <w:sz w:val="24"/>
        </w:rPr>
        <w:t xml:space="preserve"> </w:t>
      </w:r>
    </w:p>
    <w:p w14:paraId="1B77E4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15.1不可抗力的确认</w:t>
      </w:r>
    </w:p>
    <w:p w14:paraId="76C1F77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除通用合同条款约定的不可抗力事件之外，视为不可抗力的其他情形：                                                 。</w:t>
      </w:r>
    </w:p>
    <w:p w14:paraId="1DADD12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15.2因不可抗力解除合同</w:t>
      </w:r>
    </w:p>
    <w:p w14:paraId="33C9045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合同解除后，发包人应在商定或确定发包人应支付款项后    天内完成款项的支付。</w:t>
      </w:r>
    </w:p>
    <w:p w14:paraId="6C40DD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23" w:name="_Toc7597"/>
      <w:bookmarkStart w:id="624" w:name="_Toc19448"/>
      <w:bookmarkStart w:id="625" w:name="_Toc11765"/>
      <w:r>
        <w:rPr>
          <w:rFonts w:hint="default" w:ascii="Times New Roman" w:hAnsi="Times New Roman" w:eastAsia="仿宋" w:cs="Times New Roman"/>
          <w:sz w:val="24"/>
        </w:rPr>
        <w:t>16.保险</w:t>
      </w:r>
      <w:bookmarkEnd w:id="623"/>
      <w:bookmarkEnd w:id="624"/>
      <w:bookmarkEnd w:id="625"/>
    </w:p>
    <w:p w14:paraId="18F2A09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16.1工程保险</w:t>
      </w:r>
    </w:p>
    <w:p w14:paraId="7314804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关于工程保险的特别约定：                              。</w:t>
      </w:r>
    </w:p>
    <w:p w14:paraId="2322071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16.2其他保险</w:t>
      </w:r>
    </w:p>
    <w:p w14:paraId="0BEE433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其他保险的约定：承包人应当为其施工现场的全部人员办理意外伤害保险并支付保险费，包括其员工及为履行合同聘请的第三方的人员。相关费用已含在承包人的投标报价中；保险期限从现场开工直至本工程竣工验收合格为止。</w:t>
      </w:r>
    </w:p>
    <w:p w14:paraId="0873C1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承包人是否应为其施工设备等办理财产保险： 应当 。</w:t>
      </w:r>
    </w:p>
    <w:p w14:paraId="1E0F31B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16.3通知义务</w:t>
      </w:r>
    </w:p>
    <w:p w14:paraId="1390C5D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关于变更保险合同时的通知义务的约定：                  </w:t>
      </w:r>
    </w:p>
    <w:p w14:paraId="7EEE58B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213D194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26" w:name="_Toc30296"/>
      <w:bookmarkStart w:id="627" w:name="_Toc21196"/>
      <w:bookmarkStart w:id="628" w:name="_Toc30725"/>
      <w:r>
        <w:rPr>
          <w:rFonts w:hint="default" w:ascii="Times New Roman" w:hAnsi="Times New Roman" w:eastAsia="仿宋" w:cs="Times New Roman"/>
          <w:sz w:val="24"/>
        </w:rPr>
        <w:t>17.争议解决</w:t>
      </w:r>
      <w:bookmarkEnd w:id="626"/>
      <w:bookmarkEnd w:id="627"/>
      <w:bookmarkEnd w:id="628"/>
    </w:p>
    <w:p w14:paraId="553F55E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17.1争议评审</w:t>
      </w:r>
    </w:p>
    <w:p w14:paraId="692E6B9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合同当事人是否同意将工程争议提交争议评审小组决定：    </w:t>
      </w:r>
    </w:p>
    <w:p w14:paraId="2684AEE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  </w:t>
      </w:r>
    </w:p>
    <w:p w14:paraId="258AD2A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17.1.1争议评审小组的确定</w:t>
      </w:r>
    </w:p>
    <w:p w14:paraId="07AA760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争议评审小组成员的确定：                             。</w:t>
      </w:r>
    </w:p>
    <w:p w14:paraId="653E2E7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选定争议评审员的期限：                               。</w:t>
      </w:r>
    </w:p>
    <w:p w14:paraId="12A665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争议评审小组成员的报酬承担方式：                     。</w:t>
      </w:r>
    </w:p>
    <w:p w14:paraId="14CF27E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其他事项的约定：                                     。</w:t>
      </w:r>
    </w:p>
    <w:p w14:paraId="4C20BC5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17.1.2争议评审小组的决定</w:t>
      </w:r>
    </w:p>
    <w:p w14:paraId="45D5579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合同当事人关于本项的约定：                           。</w:t>
      </w:r>
    </w:p>
    <w:p w14:paraId="6B36BFD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17.2仲裁或诉讼</w:t>
      </w:r>
    </w:p>
    <w:p w14:paraId="13F0CE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因合同及合同有关事项发生的争议，按下列第     种方式解决：</w:t>
      </w:r>
    </w:p>
    <w:p w14:paraId="30556FD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（1）向       仲裁委员会申请仲裁；</w:t>
      </w:r>
    </w:p>
    <w:p w14:paraId="0E288A6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（2）向 项目所在地 人民法院起诉。</w:t>
      </w:r>
    </w:p>
    <w:p w14:paraId="14EE6281">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460CED1D">
      <w:pPr>
        <w:bidi w:val="0"/>
        <w:jc w:val="center"/>
        <w:outlineLvl w:val="1"/>
        <w:rPr>
          <w:rFonts w:hint="default" w:ascii="Times New Roman" w:hAnsi="Times New Roman" w:eastAsia="仿宋_GB2312" w:cs="Times New Roman"/>
          <w:sz w:val="32"/>
          <w:szCs w:val="32"/>
        </w:rPr>
      </w:pPr>
      <w:bookmarkStart w:id="629" w:name="_Toc1826"/>
      <w:bookmarkStart w:id="630" w:name="_Toc25597"/>
      <w:bookmarkStart w:id="631" w:name="_Toc32028"/>
      <w:bookmarkStart w:id="632" w:name="_Toc32607"/>
      <w:bookmarkStart w:id="633" w:name="_Toc22825"/>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节  合同附件格式</w:t>
      </w:r>
      <w:bookmarkEnd w:id="629"/>
      <w:bookmarkEnd w:id="630"/>
      <w:bookmarkEnd w:id="631"/>
      <w:bookmarkEnd w:id="632"/>
      <w:bookmarkEnd w:id="633"/>
    </w:p>
    <w:p w14:paraId="5E5AFE6C">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1D7F1B67">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textAlignment w:val="bottom"/>
        <w:outlineLvl w:val="2"/>
        <w:rPr>
          <w:rFonts w:hint="default" w:ascii="Times New Roman" w:hAnsi="Times New Roman" w:eastAsia="仿宋" w:cs="Times New Roman"/>
          <w:b/>
          <w:bCs/>
          <w:sz w:val="24"/>
        </w:rPr>
      </w:pPr>
      <w:bookmarkStart w:id="634" w:name="_Toc25492"/>
      <w:bookmarkStart w:id="635" w:name="_Toc64"/>
      <w:bookmarkStart w:id="636" w:name="_Toc3668"/>
      <w:bookmarkStart w:id="637" w:name="_Toc24366"/>
      <w:bookmarkStart w:id="638" w:name="_Toc4865"/>
      <w:r>
        <w:rPr>
          <w:rFonts w:hint="default" w:ascii="Times New Roman" w:hAnsi="Times New Roman" w:eastAsia="仿宋" w:cs="Times New Roman"/>
          <w:b/>
          <w:bCs/>
          <w:sz w:val="24"/>
        </w:rPr>
        <w:t>附件1：工程质量保修书</w:t>
      </w:r>
      <w:bookmarkEnd w:id="634"/>
      <w:bookmarkEnd w:id="635"/>
      <w:bookmarkEnd w:id="636"/>
      <w:bookmarkEnd w:id="637"/>
      <w:bookmarkEnd w:id="638"/>
    </w:p>
    <w:p w14:paraId="03E4B711">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3C327301">
      <w:pPr>
        <w:widowControl/>
        <w:autoSpaceDE w:val="0"/>
        <w:autoSpaceDN w:val="0"/>
        <w:spacing w:line="400" w:lineRule="exact"/>
        <w:ind w:right="53" w:firstLine="482" w:firstLineChars="200"/>
        <w:jc w:val="center"/>
        <w:textAlignment w:val="bottom"/>
        <w:rPr>
          <w:rFonts w:hint="default" w:ascii="Times New Roman" w:hAnsi="Times New Roman" w:eastAsia="仿宋" w:cs="Times New Roman"/>
          <w:b/>
          <w:bCs/>
          <w:sz w:val="24"/>
        </w:rPr>
      </w:pPr>
    </w:p>
    <w:p w14:paraId="10EB8F21">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jc w:val="center"/>
        <w:textAlignment w:val="bottom"/>
        <w:outlineLvl w:val="9"/>
        <w:rPr>
          <w:rFonts w:hint="default" w:ascii="Times New Roman" w:hAnsi="Times New Roman" w:eastAsia="仿宋" w:cs="Times New Roman"/>
          <w:b/>
          <w:bCs/>
          <w:sz w:val="24"/>
        </w:rPr>
      </w:pPr>
      <w:r>
        <w:rPr>
          <w:rFonts w:hint="default" w:ascii="Times New Roman" w:hAnsi="Times New Roman" w:eastAsia="仿宋" w:cs="Times New Roman"/>
          <w:b/>
          <w:bCs/>
          <w:sz w:val="24"/>
        </w:rPr>
        <w:t>工程质量保修书</w:t>
      </w:r>
    </w:p>
    <w:p w14:paraId="3403ED6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发包人（全称）：                                               </w:t>
      </w:r>
    </w:p>
    <w:p w14:paraId="3479198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承包人（全称）：                                               </w:t>
      </w:r>
    </w:p>
    <w:p w14:paraId="4FFB602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发包人、承包人根据《中华人民共和国建筑法》、《建设工程质量管理条例》和《房屋建筑工程质量保修办法》，经协商一致，对          签订工程质量保修书。</w:t>
      </w:r>
    </w:p>
    <w:p w14:paraId="1409116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39" w:name="_Toc19579"/>
      <w:bookmarkStart w:id="640" w:name="_Toc7790"/>
      <w:bookmarkStart w:id="641" w:name="_Toc30888"/>
      <w:bookmarkStart w:id="642" w:name="_Toc16135"/>
      <w:r>
        <w:rPr>
          <w:rFonts w:hint="default" w:ascii="Times New Roman" w:hAnsi="Times New Roman" w:eastAsia="仿宋" w:cs="Times New Roman"/>
          <w:sz w:val="24"/>
        </w:rPr>
        <w:t>1、工程质量保修范围和内容</w:t>
      </w:r>
      <w:bookmarkEnd w:id="639"/>
      <w:bookmarkEnd w:id="640"/>
      <w:bookmarkEnd w:id="641"/>
      <w:bookmarkEnd w:id="642"/>
    </w:p>
    <w:p w14:paraId="46BB643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承包人在质量保修期内，按照有关法律、法规、规章规定和双方约定，承担本工程质量保修责任。</w:t>
      </w:r>
    </w:p>
    <w:p w14:paraId="07D317F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详见《建设工程质管管理条例》第六章第39—42条。</w:t>
      </w:r>
    </w:p>
    <w:p w14:paraId="6E61843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43" w:name="_Toc13797"/>
      <w:bookmarkStart w:id="644" w:name="_Toc38"/>
      <w:bookmarkStart w:id="645" w:name="_Toc25777"/>
      <w:bookmarkStart w:id="646" w:name="_Toc17906"/>
      <w:r>
        <w:rPr>
          <w:rFonts w:hint="default" w:ascii="Times New Roman" w:hAnsi="Times New Roman" w:eastAsia="仿宋" w:cs="Times New Roman"/>
          <w:sz w:val="24"/>
        </w:rPr>
        <w:t>2、质量保修期</w:t>
      </w:r>
      <w:bookmarkEnd w:id="643"/>
      <w:bookmarkEnd w:id="644"/>
      <w:bookmarkEnd w:id="645"/>
      <w:bookmarkEnd w:id="646"/>
    </w:p>
    <w:p w14:paraId="3A16DC4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2.1双方根据《建设工程质量管理条例》及有关规定，约定本工程的质量保修期如下：</w:t>
      </w:r>
    </w:p>
    <w:p w14:paraId="4514D08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（1）基础设施工程、房屋建筑的地基基础工程和主体结构工程为设计文件规定的该工程合理使用年限；</w:t>
      </w:r>
    </w:p>
    <w:p w14:paraId="2E28A40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（2）屋面防水工程、有防水要求的卫生间、房间和外墙面的防渗漏为  5  年；</w:t>
      </w:r>
    </w:p>
    <w:p w14:paraId="2B9C51F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（3）装修工程为  2  年；</w:t>
      </w:r>
    </w:p>
    <w:p w14:paraId="259EA16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（4）供热与供冷系统为  2  个采暖期、供冷期；</w:t>
      </w:r>
    </w:p>
    <w:p w14:paraId="650568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（5）电气管线、给排水管道、设备安装工程为  2  年；</w:t>
      </w:r>
    </w:p>
    <w:p w14:paraId="7BF12DA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（6）住宅小区内的给排水设施、道路等配套工程为  2  年；</w:t>
      </w:r>
    </w:p>
    <w:p w14:paraId="2F128D1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（7）其他项目的保修期限为  2  年。</w:t>
      </w:r>
    </w:p>
    <w:p w14:paraId="4AFFB62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2.2质量保修期自工程竣工验收合格之日起计算。</w:t>
      </w:r>
    </w:p>
    <w:p w14:paraId="24B6E90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47" w:name="_Toc30817"/>
      <w:bookmarkStart w:id="648" w:name="_Toc18161"/>
      <w:bookmarkStart w:id="649" w:name="_Toc27773"/>
      <w:bookmarkStart w:id="650" w:name="_Toc19780"/>
      <w:r>
        <w:rPr>
          <w:rFonts w:hint="default" w:ascii="Times New Roman" w:hAnsi="Times New Roman" w:eastAsia="仿宋" w:cs="Times New Roman"/>
          <w:sz w:val="24"/>
        </w:rPr>
        <w:t>3、质量保修责任</w:t>
      </w:r>
      <w:bookmarkEnd w:id="647"/>
      <w:bookmarkEnd w:id="648"/>
      <w:bookmarkEnd w:id="649"/>
      <w:bookmarkEnd w:id="650"/>
    </w:p>
    <w:p w14:paraId="3F173D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3.1属于保修范围、内容的项目，承包人应当在接到保修通知之日起7天内派人保修。承包人不在约定期限内派人保修的，发包人可以委托他人修理。</w:t>
      </w:r>
    </w:p>
    <w:p w14:paraId="5A65A74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3.2发生紧急抢修事故的，承包人在接到事故通知后，应当立即到达事故现场抢修。</w:t>
      </w:r>
    </w:p>
    <w:p w14:paraId="1E19A95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0F7442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3.4质量保修完成后，由发包人组织验收。</w:t>
      </w:r>
    </w:p>
    <w:p w14:paraId="546A32F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51" w:name="_Toc20843"/>
      <w:bookmarkStart w:id="652" w:name="_Toc5328"/>
      <w:bookmarkStart w:id="653" w:name="_Toc16116"/>
      <w:bookmarkStart w:id="654" w:name="_Toc23033"/>
      <w:r>
        <w:rPr>
          <w:rFonts w:hint="default" w:ascii="Times New Roman" w:hAnsi="Times New Roman" w:eastAsia="仿宋" w:cs="Times New Roman"/>
          <w:sz w:val="24"/>
        </w:rPr>
        <w:t>4、保修费用</w:t>
      </w:r>
      <w:bookmarkEnd w:id="651"/>
      <w:bookmarkEnd w:id="652"/>
      <w:bookmarkEnd w:id="653"/>
      <w:bookmarkEnd w:id="654"/>
    </w:p>
    <w:p w14:paraId="62B84FB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4.1保修费用由造成质量缺陷的责任方承担。</w:t>
      </w:r>
    </w:p>
    <w:p w14:paraId="7D4D618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55" w:name="_Toc14747"/>
      <w:bookmarkStart w:id="656" w:name="_Toc22589"/>
      <w:bookmarkStart w:id="657" w:name="_Toc4701"/>
      <w:bookmarkStart w:id="658" w:name="_Toc1315"/>
      <w:r>
        <w:rPr>
          <w:rFonts w:hint="default" w:ascii="Times New Roman" w:hAnsi="Times New Roman" w:eastAsia="仿宋" w:cs="Times New Roman"/>
          <w:sz w:val="24"/>
        </w:rPr>
        <w:t>5、其他</w:t>
      </w:r>
      <w:bookmarkEnd w:id="655"/>
      <w:bookmarkEnd w:id="656"/>
      <w:bookmarkEnd w:id="657"/>
      <w:bookmarkEnd w:id="658"/>
    </w:p>
    <w:p w14:paraId="6E3264D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5.1双方约定的其他工程质量保修事项:</w:t>
      </w:r>
    </w:p>
    <w:p w14:paraId="0EBB2CA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质量保证金按工程竣工结算价的3%计算，质量保证金的退还按合同约定，不计利息。承包方接到保修通知书后三天内必须到场保修，否则发包方可请人保修，所发生的费用在保修金中支付。 </w:t>
      </w:r>
    </w:p>
    <w:p w14:paraId="48FCBFC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5.2本工程质量保修书,由施工合同发包人、承包人双方在竣工验收前共同签署，作为施工合同附件，其有效期限至保修期满。</w:t>
      </w:r>
    </w:p>
    <w:p w14:paraId="6E071FA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390E4F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65ACDFD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5D61D1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  包  人（公章）：                     承  包  人（公章）：</w:t>
      </w:r>
    </w:p>
    <w:p w14:paraId="536FF2B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40DE8CD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法定代表人（签字）：                     法定代表人（签字）：</w:t>
      </w:r>
    </w:p>
    <w:p w14:paraId="5DB79D3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4E532C4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年     月     日                           年     月</w:t>
      </w:r>
    </w:p>
    <w:p w14:paraId="0610FC87">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242774F4">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132CD727">
      <w:pPr>
        <w:rPr>
          <w:rFonts w:hint="default" w:ascii="Times New Roman" w:hAnsi="Times New Roman" w:eastAsia="仿宋" w:cs="Times New Roman"/>
          <w:sz w:val="24"/>
        </w:rPr>
      </w:pPr>
      <w:r>
        <w:rPr>
          <w:rFonts w:hint="default" w:ascii="Times New Roman" w:hAnsi="Times New Roman" w:eastAsia="仿宋" w:cs="Times New Roman"/>
          <w:sz w:val="24"/>
        </w:rPr>
        <w:br w:type="page"/>
      </w:r>
    </w:p>
    <w:p w14:paraId="17E142B1">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textAlignment w:val="bottom"/>
        <w:outlineLvl w:val="2"/>
        <w:rPr>
          <w:rFonts w:hint="default" w:ascii="Times New Roman" w:hAnsi="Times New Roman" w:eastAsia="仿宋" w:cs="Times New Roman"/>
          <w:b/>
          <w:bCs/>
          <w:sz w:val="24"/>
        </w:rPr>
      </w:pPr>
      <w:bookmarkStart w:id="659" w:name="_Toc22609"/>
      <w:bookmarkStart w:id="660" w:name="_Toc540"/>
      <w:r>
        <w:rPr>
          <w:rFonts w:hint="default" w:ascii="Times New Roman" w:hAnsi="Times New Roman" w:eastAsia="仿宋" w:cs="Times New Roman"/>
          <w:b/>
          <w:bCs/>
          <w:sz w:val="24"/>
        </w:rPr>
        <w:t>附件2：廉政合同</w:t>
      </w:r>
      <w:bookmarkEnd w:id="659"/>
      <w:bookmarkEnd w:id="660"/>
    </w:p>
    <w:p w14:paraId="32B22EB0">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jc w:val="center"/>
        <w:textAlignment w:val="bottom"/>
        <w:outlineLvl w:val="9"/>
        <w:rPr>
          <w:rFonts w:hint="default" w:ascii="Times New Roman" w:hAnsi="Times New Roman" w:eastAsia="仿宋" w:cs="Times New Roman"/>
          <w:b/>
          <w:bCs/>
          <w:sz w:val="24"/>
        </w:rPr>
      </w:pPr>
      <w:r>
        <w:rPr>
          <w:rFonts w:hint="default" w:ascii="Times New Roman" w:hAnsi="Times New Roman" w:eastAsia="仿宋" w:cs="Times New Roman"/>
          <w:b/>
          <w:bCs/>
          <w:sz w:val="24"/>
        </w:rPr>
        <w:t>廉  政  合  同</w:t>
      </w:r>
    </w:p>
    <w:p w14:paraId="12D9A8D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项目名称: </w:t>
      </w:r>
    </w:p>
    <w:p w14:paraId="755D5E9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甲方（发包单位）： </w:t>
      </w:r>
    </w:p>
    <w:p w14:paraId="577AF76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乙方（承包单位）： </w:t>
      </w:r>
    </w:p>
    <w:p w14:paraId="125FED6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甲乙双方依法签订了《          项目合同》，为贯彻落实党中央关于干部清正、政府清廉、政治清明的精神，健全预防腐败体系，强化纪律保障，加强城市管理和环境保护局工作当中的廉政建设，根据国家廉政建设的有关要求，特订立本廉政合同。</w:t>
      </w:r>
    </w:p>
    <w:p w14:paraId="22AB2B4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第一条 甲方工作人员严禁利用职权和职务上的影响谋取不正当利益，必须严格遵守以下规定：</w:t>
      </w:r>
    </w:p>
    <w:p w14:paraId="6E2F1D9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1.不准向乙方索要或接受回扣、礼金、有价证券、支付凭证、贵重物品和好处费、感谢费等；不准在乙方报销任何应由甲方或其工作人员个人支付的费用。 </w:t>
      </w:r>
    </w:p>
    <w:p w14:paraId="3F45812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2.不准接受乙方可能影响公正执行公务的宴请及健身、娱乐等活动；不得接受乙方提供的通讯工具、交通工具、高档办公用品等。</w:t>
      </w:r>
    </w:p>
    <w:p w14:paraId="60F46AE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3.不准要求、暗示和接受乙方为个人装修住房、婚丧嫁娶、配偶子女工作安排以及出国（境）、旅游等提供方便。</w:t>
      </w:r>
    </w:p>
    <w:p w14:paraId="29ADEE1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4.甲方工作人员及其直系亲属婚丧嫁娶、生日、小孩升学、乔迁等不得邀请乙方参加，不准借此接受乙方的礼金、礼物等。</w:t>
      </w:r>
    </w:p>
    <w:p w14:paraId="5229187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5.配偶、子女不得从事与乙方维修本项目有关的设备材料供应、项目分包、劳务等经济活动。 </w:t>
      </w:r>
    </w:p>
    <w:p w14:paraId="496A6E6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6.不得以任何理由向乙方指定、推荐分包单位（合作单位）或要求乙方购买项目合同规定以外的材料、设备和服务等。 </w:t>
      </w:r>
    </w:p>
    <w:p w14:paraId="247A726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61" w:name="_Toc23958"/>
      <w:bookmarkStart w:id="662" w:name="_Toc22752"/>
      <w:bookmarkStart w:id="663" w:name="_Toc26613"/>
      <w:bookmarkStart w:id="664" w:name="_Toc25043"/>
      <w:r>
        <w:rPr>
          <w:rFonts w:hint="default" w:ascii="Times New Roman" w:hAnsi="Times New Roman" w:eastAsia="仿宋" w:cs="Times New Roman"/>
          <w:sz w:val="24"/>
        </w:rPr>
        <w:t>7.其它与项目有关的党风廉政建设的规定。</w:t>
      </w:r>
      <w:bookmarkEnd w:id="661"/>
      <w:bookmarkEnd w:id="662"/>
      <w:bookmarkEnd w:id="663"/>
      <w:bookmarkEnd w:id="664"/>
    </w:p>
    <w:p w14:paraId="3679B37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第二条 乙方应与甲方依法保持正常的工作交往，按照有关法律法规和程序开展业务工作，严格执行项目合同，并遵守以下规定： </w:t>
      </w:r>
    </w:p>
    <w:p w14:paraId="38953EA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1.不准以任何理由向甲方及其工作人员行贿或赠送礼金、有价证券、贵重物品等。 </w:t>
      </w:r>
    </w:p>
    <w:p w14:paraId="7CB57F1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2.不准以任何名义为甲方及其工作人员报销应由甲方或个人支付的费用。 </w:t>
      </w:r>
    </w:p>
    <w:p w14:paraId="38E2DF9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3.不准以任何理由安排甲方工作人员参加宴请及健身、娱乐和旅游等活动。 </w:t>
      </w:r>
    </w:p>
    <w:p w14:paraId="12009A3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4.不准为甲方及其工作人员购置或提供通讯工具、交通工具、高档办公用品和装修住房等。</w:t>
      </w:r>
    </w:p>
    <w:p w14:paraId="04FA08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5.不准参加甲方工作人员及其直系亲属的婚丧嫁娶、生日、小孩升学、乔迁等宴会，不准借此赠送礼金、礼物等。</w:t>
      </w:r>
    </w:p>
    <w:p w14:paraId="65F6BE6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65" w:name="_Toc6142"/>
      <w:bookmarkStart w:id="666" w:name="_Toc12008"/>
      <w:bookmarkStart w:id="667" w:name="_Toc4625"/>
      <w:bookmarkStart w:id="668" w:name="_Toc32324"/>
      <w:r>
        <w:rPr>
          <w:rFonts w:hint="default" w:ascii="Times New Roman" w:hAnsi="Times New Roman" w:eastAsia="仿宋" w:cs="Times New Roman"/>
          <w:sz w:val="24"/>
        </w:rPr>
        <w:t>6.其它与项目有关的党风廉政建设的规定。</w:t>
      </w:r>
      <w:bookmarkEnd w:id="665"/>
      <w:bookmarkEnd w:id="666"/>
      <w:bookmarkEnd w:id="667"/>
      <w:bookmarkEnd w:id="668"/>
    </w:p>
    <w:p w14:paraId="06754B5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第三条 甲乙双方不得违反有关规章制度，不得为获取不当利益，就项目费用、资金拨付、材料供应、设施量变动、项目审批（审查）、项目验收、项目质量等问题相互串通，损害国家、集体或他人利益。 </w:t>
      </w:r>
    </w:p>
    <w:p w14:paraId="2D51420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第四条 甲乙双方发现对方在业务活动中有违反本合同行为的，有权及时提醒对方纠正。情节严重的，有权向监督单位或有关部门举报、反映。</w:t>
      </w:r>
    </w:p>
    <w:p w14:paraId="343A38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第五条 违约责任 </w:t>
      </w:r>
    </w:p>
    <w:p w14:paraId="209CBB5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甲方工作人员有违反本合同第一条、第三条行为的，监督单位按照管理权限，依据有关法律法规和规定给予党纪、政纪处分或组织处理；涉嫌犯罪的，移交司法机关追究刑事责任；造成经济损失的，应予以赔偿。 </w:t>
      </w:r>
    </w:p>
    <w:p w14:paraId="45A3E74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2.乙方工作人员有违反本合同第二条、第三条行为的，监督单位和甲方将乙方纳入不诚信名单，并有权对乙方予以一至二年内不得进入本区域同类项目招、投标市场的处理，同时有权停止主合同的执行。涉嫌犯罪的，移交司法机关追究刑事责任；造成经济损失的，应予以赔偿。 </w:t>
      </w:r>
    </w:p>
    <w:p w14:paraId="7B61A4D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3.乙方将部分辅助项目依法分包的，乙方与分包单位就合同的履行承担连带责任。</w:t>
      </w:r>
    </w:p>
    <w:p w14:paraId="0C5B118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第六条 本合同作为《         项目合同》的附件，与《          项目合同》具有同等法律效力，双方签署后立即生效，作为双方及有关纪检监察部门监督、检查的依据，并随《        项目合同》同步执行、同步考核、同步终止。 </w:t>
      </w:r>
    </w:p>
    <w:p w14:paraId="2507D1A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第七条 本合同一式肆份，甲、乙双方各执贰份，自双方加盖公司公章、签字（或盖法定代表人印章）之日起生效。</w:t>
      </w:r>
    </w:p>
    <w:p w14:paraId="02848C8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甲方（盖章）：                     乙方（盖章）：</w:t>
      </w:r>
    </w:p>
    <w:p w14:paraId="3D6BCA5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法定代表人：                       法定代表人：</w:t>
      </w:r>
    </w:p>
    <w:p w14:paraId="485161D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D4DEE6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或授权委托人：                     或授权委托人：</w:t>
      </w:r>
    </w:p>
    <w:p w14:paraId="4141200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签订时间：       年   月  日</w:t>
      </w:r>
    </w:p>
    <w:p w14:paraId="73E545C4">
      <w:pPr>
        <w:rPr>
          <w:rFonts w:hint="default" w:ascii="Times New Roman" w:hAnsi="Times New Roman" w:eastAsia="仿宋" w:cs="Times New Roman"/>
          <w:sz w:val="24"/>
        </w:rPr>
      </w:pPr>
      <w:r>
        <w:rPr>
          <w:rFonts w:hint="default" w:ascii="Times New Roman" w:hAnsi="Times New Roman" w:eastAsia="仿宋" w:cs="Times New Roman"/>
          <w:sz w:val="24"/>
        </w:rPr>
        <w:br w:type="page"/>
      </w:r>
    </w:p>
    <w:p w14:paraId="5CDDA139">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textAlignment w:val="bottom"/>
        <w:outlineLvl w:val="2"/>
        <w:rPr>
          <w:rFonts w:hint="default" w:ascii="Times New Roman" w:hAnsi="Times New Roman" w:eastAsia="仿宋" w:cs="Times New Roman"/>
          <w:b/>
          <w:bCs/>
          <w:sz w:val="24"/>
          <w:lang w:eastAsia="zh-CN"/>
        </w:rPr>
      </w:pPr>
      <w:bookmarkStart w:id="669" w:name="_Toc10966"/>
      <w:bookmarkStart w:id="670" w:name="_Toc25078"/>
      <w:r>
        <w:rPr>
          <w:rFonts w:hint="default" w:ascii="Times New Roman" w:hAnsi="Times New Roman" w:eastAsia="仿宋" w:cs="Times New Roman"/>
          <w:b/>
          <w:bCs/>
          <w:sz w:val="24"/>
        </w:rPr>
        <w:t>附件3：</w:t>
      </w:r>
      <w:r>
        <w:rPr>
          <w:rFonts w:hint="default" w:ascii="Times New Roman" w:hAnsi="Times New Roman" w:eastAsia="仿宋" w:cs="Times New Roman"/>
          <w:b/>
          <w:bCs/>
          <w:sz w:val="24"/>
          <w:lang w:eastAsia="zh-CN"/>
        </w:rPr>
        <w:t>安全生产责任书</w:t>
      </w:r>
      <w:bookmarkEnd w:id="669"/>
      <w:bookmarkEnd w:id="670"/>
    </w:p>
    <w:p w14:paraId="5BDBDB4A">
      <w:pPr>
        <w:widowControl/>
        <w:autoSpaceDE w:val="0"/>
        <w:autoSpaceDN w:val="0"/>
        <w:spacing w:line="400" w:lineRule="exact"/>
        <w:ind w:right="53" w:firstLine="482" w:firstLineChars="200"/>
        <w:jc w:val="center"/>
        <w:textAlignment w:val="bottom"/>
        <w:rPr>
          <w:rFonts w:hint="default" w:ascii="Times New Roman" w:hAnsi="Times New Roman" w:eastAsia="仿宋" w:cs="Times New Roman"/>
          <w:b/>
          <w:bCs/>
          <w:sz w:val="24"/>
        </w:rPr>
      </w:pPr>
      <w:r>
        <w:rPr>
          <w:rFonts w:hint="default" w:ascii="Times New Roman" w:hAnsi="Times New Roman" w:eastAsia="仿宋" w:cs="Times New Roman"/>
          <w:b/>
          <w:bCs/>
          <w:sz w:val="24"/>
        </w:rPr>
        <w:t>安 全 生 产 责 任 书</w:t>
      </w:r>
    </w:p>
    <w:p w14:paraId="5166AE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项目名称: </w:t>
      </w:r>
    </w:p>
    <w:p w14:paraId="089272E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甲方（发包单位）： </w:t>
      </w:r>
    </w:p>
    <w:p w14:paraId="3A821BB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乙方（承包单位）： </w:t>
      </w:r>
    </w:p>
    <w:p w14:paraId="749EE16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为进一步明确甲乙双方在《          项目合同》中各自承担的安全责任，保护作业人员的生命安全，防止各类安全事故的发生，根据《中华人民共和国安全生产法》及相关法律法规的规定，特签订此安全责任书。乙方必须做到（包括但不限于）：</w:t>
      </w:r>
    </w:p>
    <w:p w14:paraId="6C60B5D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第一条 安全管理内容</w:t>
      </w:r>
    </w:p>
    <w:p w14:paraId="6DB46D5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1．乙方必须具备法人资格，有合法的经营执照，法人代表为安全生产第一责任人。</w:t>
      </w:r>
    </w:p>
    <w:p w14:paraId="7AC3260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71" w:name="_Toc15253"/>
      <w:bookmarkStart w:id="672" w:name="_Toc25625"/>
      <w:bookmarkStart w:id="673" w:name="_Toc12651"/>
      <w:bookmarkStart w:id="674" w:name="_Toc12454"/>
      <w:r>
        <w:rPr>
          <w:rFonts w:hint="default" w:ascii="Times New Roman" w:hAnsi="Times New Roman" w:eastAsia="仿宋" w:cs="Times New Roman"/>
          <w:sz w:val="24"/>
        </w:rPr>
        <w:t>2．乙方提供服务人员应身体健康，无所从事工作岗位禁忌症。</w:t>
      </w:r>
      <w:bookmarkEnd w:id="671"/>
      <w:bookmarkEnd w:id="672"/>
      <w:bookmarkEnd w:id="673"/>
      <w:bookmarkEnd w:id="674"/>
    </w:p>
    <w:p w14:paraId="2525CAD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3．禁止乙方招用未满18周岁的未成年人或年满60周岁以上的老年人到甲方公司参与生产活动。</w:t>
      </w:r>
    </w:p>
    <w:p w14:paraId="17FF844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4．乙方必须根据《中华人民共和国安全生产法》《工伤保险条例》等法律法规要求，为所属的员工办理工伤保险或意外伤害保险。</w:t>
      </w:r>
    </w:p>
    <w:p w14:paraId="495CF5C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5．乙方应自觉接受甲方的安全检查和监督管理，必须对所属人员进行岗前安全教育和定期安全培训，并遵守国家安全生产法律法规和甲方的安全生产规章制度。</w:t>
      </w:r>
    </w:p>
    <w:p w14:paraId="6E9F385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6．乙方服务人员在道路现场工作时，必须严格规范着装，穿戴安全防护服装，保护好自身人身安全，遇大雨雷电、极端高温、极端低温等极端天气，应暂时停止工作。</w:t>
      </w:r>
    </w:p>
    <w:p w14:paraId="69345C7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7．乙方的服务人员必须持证上岗，无证或超过有效期作业者，按违章处理。</w:t>
      </w:r>
    </w:p>
    <w:p w14:paraId="5041002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8．乙方在道路现场服务工作中如乙方未按以上规定执行而造成的安全事故，责任全部由乙方承担。</w:t>
      </w:r>
    </w:p>
    <w:p w14:paraId="6E723CB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第二条 治安防范责任</w:t>
      </w:r>
    </w:p>
    <w:p w14:paraId="20763B3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1．乙方应严格贯彻《社会治安防范责任条例》。重点做好自身务工人员管理工作。</w:t>
      </w:r>
    </w:p>
    <w:p w14:paraId="5D49F6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2．乙方应建立健全治安信息报告制度，群防群治，道路现场出现或可能出现的各类不安定因素及治安事件，要做到及时发现和控制、上报。</w:t>
      </w:r>
    </w:p>
    <w:p w14:paraId="2A50B0D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3．乙方应经常开展法制教育，杜绝员工参与非法组织和从事非法活动。</w:t>
      </w:r>
    </w:p>
    <w:p w14:paraId="6B3BCD2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第三条 其它</w:t>
      </w:r>
    </w:p>
    <w:p w14:paraId="700BD63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1．甲乙双方均应执行国家的安全生产及治安防范的法律法规，本责任书条款未尽事宜按国家规定执行。</w:t>
      </w:r>
    </w:p>
    <w:p w14:paraId="0077F8C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2．本责任书一式肆份，甲乙双方各贰份，自双方加盖公司公章、签字（或盖法定代表人印章）之日起生效。</w:t>
      </w:r>
    </w:p>
    <w:p w14:paraId="1F1522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3．本责任书的有效期与《          项目合同》有效期一致。</w:t>
      </w:r>
    </w:p>
    <w:p w14:paraId="0664BF1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12667E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甲方（盖章）：                    乙方（盖章）：</w:t>
      </w:r>
    </w:p>
    <w:p w14:paraId="4C3755A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5018211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法定代表人：                      法定代表人：</w:t>
      </w:r>
    </w:p>
    <w:p w14:paraId="1719088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51E87C8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或授权委托人：                    或授权委托人：</w:t>
      </w:r>
    </w:p>
    <w:p w14:paraId="70C80B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CF1EC8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CE2AB7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2078CB8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签订时间：       年   月   日</w:t>
      </w:r>
    </w:p>
    <w:p w14:paraId="38978DD9">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31449E4F">
      <w:pPr>
        <w:rPr>
          <w:rFonts w:hint="default" w:ascii="Times New Roman" w:hAnsi="Times New Roman" w:eastAsia="仿宋" w:cs="Times New Roman"/>
          <w:sz w:val="24"/>
        </w:rPr>
      </w:pPr>
    </w:p>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03C7A8-C438-4BB1-84DC-3B21C87A8E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2057324A-5464-4284-BA04-29AE7A870962}"/>
  </w:font>
  <w:font w:name="仿宋">
    <w:panose1 w:val="02010609060101010101"/>
    <w:charset w:val="86"/>
    <w:family w:val="modern"/>
    <w:pitch w:val="default"/>
    <w:sig w:usb0="800002BF" w:usb1="38CF7CFA" w:usb2="00000016" w:usb3="00000000" w:csb0="00040001" w:csb1="00000000"/>
    <w:embedRegular r:id="rId3" w:fontKey="{F69C3655-87D4-480E-B83E-B22EE2CB3723}"/>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2C3195D0-3699-4849-887C-9F0FFE660C54}"/>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script"/>
    <w:pitch w:val="default"/>
    <w:sig w:usb0="00000001" w:usb1="080E0000" w:usb2="00000000" w:usb3="00000000" w:csb0="00040000" w:csb1="00000000"/>
    <w:embedRegular r:id="rId5" w:fontKey="{CB053A13-231D-49A4-82A2-36A0F98BA005}"/>
  </w:font>
  <w:font w:name="华文中宋">
    <w:panose1 w:val="02010600040101010101"/>
    <w:charset w:val="86"/>
    <w:family w:val="auto"/>
    <w:pitch w:val="default"/>
    <w:sig w:usb0="00000287" w:usb1="080F0000" w:usb2="00000000" w:usb3="00000000" w:csb0="0004009F" w:csb1="DFD70000"/>
    <w:embedRegular r:id="rId6" w:fontKey="{2E4A48D2-EE98-40E0-BE19-9C0B046ECE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3B522">
    <w:pPr>
      <w:pStyle w:val="24"/>
      <w:rPr>
        <w:rStyle w:val="3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45111">
                          <w:pPr>
                            <w:pStyle w:val="2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345111">
                    <w:pPr>
                      <w:pStyle w:val="2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5AD910E0">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DEEB5">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7C4254E8">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E96A">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E3DD4">
                          <w:pPr>
                            <w:pStyle w:val="2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AE3DD4">
                    <w:pPr>
                      <w:pStyle w:val="2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95ED">
    <w:pPr>
      <w:pStyle w:val="24"/>
      <w:jc w:val="center"/>
      <w:rPr>
        <w:rFonts w:ascii="宋体" w:hAnsi="宋体"/>
        <w:b/>
        <w:bCs/>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D2FB7">
                          <w:pPr>
                            <w:pStyle w:val="24"/>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AD2FB7">
                    <w:pPr>
                      <w:pStyle w:val="24"/>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8767">
    <w:pPr>
      <w:pStyle w:val="24"/>
      <w:ind w:firstLine="3585" w:firstLineChars="199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26CF0">
                          <w:pPr>
                            <w:pStyle w:val="2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B26CF0">
                    <w:pPr>
                      <w:pStyle w:val="2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p w14:paraId="384B74C2">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4E93">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E8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67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0CD9B"/>
    <w:multiLevelType w:val="singleLevel"/>
    <w:tmpl w:val="E910CD9B"/>
    <w:lvl w:ilvl="0" w:tentative="0">
      <w:start w:val="2"/>
      <w:numFmt w:val="decimal"/>
      <w:suff w:val="space"/>
      <w:lvlText w:val="（%1）"/>
      <w:lvlJc w:val="left"/>
    </w:lvl>
  </w:abstractNum>
  <w:abstractNum w:abstractNumId="1">
    <w:nsid w:val="18CE798B"/>
    <w:multiLevelType w:val="singleLevel"/>
    <w:tmpl w:val="18CE798B"/>
    <w:lvl w:ilvl="0" w:tentative="0">
      <w:start w:val="3"/>
      <w:numFmt w:val="decimal"/>
      <w:suff w:val="space"/>
      <w:lvlText w:val="（%1）"/>
      <w:lvlJc w:val="left"/>
    </w:lvl>
  </w:abstractNum>
  <w:abstractNum w:abstractNumId="2">
    <w:nsid w:val="29322490"/>
    <w:multiLevelType w:val="multilevel"/>
    <w:tmpl w:val="29322490"/>
    <w:lvl w:ilvl="0" w:tentative="0">
      <w:start w:val="4"/>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0EA9AFB"/>
    <w:multiLevelType w:val="singleLevel"/>
    <w:tmpl w:val="50EA9AFB"/>
    <w:lvl w:ilvl="0" w:tentative="0">
      <w:start w:val="2"/>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HorizontalSpacing w:val="170"/>
  <w:drawingGridVerticalSpacing w:val="23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lMDY5MTRjNmU2NTdjNjU5OGY3ZjU5YmJhN2QxODcifQ=="/>
  </w:docVars>
  <w:rsids>
    <w:rsidRoot w:val="00172A27"/>
    <w:rsid w:val="0000000A"/>
    <w:rsid w:val="00000DA1"/>
    <w:rsid w:val="000018F2"/>
    <w:rsid w:val="00003A28"/>
    <w:rsid w:val="00005158"/>
    <w:rsid w:val="00005844"/>
    <w:rsid w:val="00005C88"/>
    <w:rsid w:val="00006122"/>
    <w:rsid w:val="0001065A"/>
    <w:rsid w:val="00010B85"/>
    <w:rsid w:val="0001473B"/>
    <w:rsid w:val="0001795C"/>
    <w:rsid w:val="00025231"/>
    <w:rsid w:val="000257C9"/>
    <w:rsid w:val="00033152"/>
    <w:rsid w:val="00033FB3"/>
    <w:rsid w:val="00037C39"/>
    <w:rsid w:val="00042EA3"/>
    <w:rsid w:val="00043729"/>
    <w:rsid w:val="00043AEE"/>
    <w:rsid w:val="00043DA0"/>
    <w:rsid w:val="00044156"/>
    <w:rsid w:val="0005259E"/>
    <w:rsid w:val="000536F6"/>
    <w:rsid w:val="00055D31"/>
    <w:rsid w:val="00066360"/>
    <w:rsid w:val="00073A91"/>
    <w:rsid w:val="00077693"/>
    <w:rsid w:val="00082657"/>
    <w:rsid w:val="000862C5"/>
    <w:rsid w:val="00090211"/>
    <w:rsid w:val="00092679"/>
    <w:rsid w:val="0009721D"/>
    <w:rsid w:val="000A0AA2"/>
    <w:rsid w:val="000A23A4"/>
    <w:rsid w:val="000A3351"/>
    <w:rsid w:val="000B4352"/>
    <w:rsid w:val="000B5479"/>
    <w:rsid w:val="000C15B3"/>
    <w:rsid w:val="000D5129"/>
    <w:rsid w:val="000D6EC2"/>
    <w:rsid w:val="000D7C23"/>
    <w:rsid w:val="000E05E5"/>
    <w:rsid w:val="000E292E"/>
    <w:rsid w:val="000F12D4"/>
    <w:rsid w:val="00102CFB"/>
    <w:rsid w:val="001035A3"/>
    <w:rsid w:val="001042CF"/>
    <w:rsid w:val="0010734E"/>
    <w:rsid w:val="00107CB1"/>
    <w:rsid w:val="00111130"/>
    <w:rsid w:val="00111593"/>
    <w:rsid w:val="00113361"/>
    <w:rsid w:val="00113BB1"/>
    <w:rsid w:val="00114FF5"/>
    <w:rsid w:val="00115D9E"/>
    <w:rsid w:val="00116A41"/>
    <w:rsid w:val="00116C5F"/>
    <w:rsid w:val="00117F2A"/>
    <w:rsid w:val="00122BD5"/>
    <w:rsid w:val="001350D1"/>
    <w:rsid w:val="00137C95"/>
    <w:rsid w:val="00140182"/>
    <w:rsid w:val="0014102A"/>
    <w:rsid w:val="00141192"/>
    <w:rsid w:val="001426B6"/>
    <w:rsid w:val="001452B6"/>
    <w:rsid w:val="0014530B"/>
    <w:rsid w:val="0015109F"/>
    <w:rsid w:val="001519FF"/>
    <w:rsid w:val="00152B49"/>
    <w:rsid w:val="00153905"/>
    <w:rsid w:val="00153EB9"/>
    <w:rsid w:val="00163326"/>
    <w:rsid w:val="00163803"/>
    <w:rsid w:val="00166678"/>
    <w:rsid w:val="001670EB"/>
    <w:rsid w:val="00172A27"/>
    <w:rsid w:val="0017491E"/>
    <w:rsid w:val="00183279"/>
    <w:rsid w:val="00183F4D"/>
    <w:rsid w:val="00185844"/>
    <w:rsid w:val="00186227"/>
    <w:rsid w:val="00186E6F"/>
    <w:rsid w:val="001939B2"/>
    <w:rsid w:val="00193FA0"/>
    <w:rsid w:val="00194700"/>
    <w:rsid w:val="00197703"/>
    <w:rsid w:val="001A012B"/>
    <w:rsid w:val="001A14A1"/>
    <w:rsid w:val="001A2790"/>
    <w:rsid w:val="001A2F9B"/>
    <w:rsid w:val="001A32F3"/>
    <w:rsid w:val="001A39F0"/>
    <w:rsid w:val="001A53CE"/>
    <w:rsid w:val="001B2477"/>
    <w:rsid w:val="001B4B1F"/>
    <w:rsid w:val="001B5401"/>
    <w:rsid w:val="001B5762"/>
    <w:rsid w:val="001B5DF9"/>
    <w:rsid w:val="001C7795"/>
    <w:rsid w:val="001D3D95"/>
    <w:rsid w:val="001D6153"/>
    <w:rsid w:val="001E2230"/>
    <w:rsid w:val="001E2538"/>
    <w:rsid w:val="001E2992"/>
    <w:rsid w:val="001E31AE"/>
    <w:rsid w:val="001E364A"/>
    <w:rsid w:val="001E3DB2"/>
    <w:rsid w:val="001E4FCF"/>
    <w:rsid w:val="001E6953"/>
    <w:rsid w:val="001F0E05"/>
    <w:rsid w:val="001F18C0"/>
    <w:rsid w:val="001F3224"/>
    <w:rsid w:val="001F3932"/>
    <w:rsid w:val="001F60CD"/>
    <w:rsid w:val="001F6FB1"/>
    <w:rsid w:val="001F7FE6"/>
    <w:rsid w:val="00201334"/>
    <w:rsid w:val="00201782"/>
    <w:rsid w:val="00202F19"/>
    <w:rsid w:val="002033F0"/>
    <w:rsid w:val="002073FF"/>
    <w:rsid w:val="002161B5"/>
    <w:rsid w:val="00221AA8"/>
    <w:rsid w:val="00223B07"/>
    <w:rsid w:val="002323AE"/>
    <w:rsid w:val="002372B3"/>
    <w:rsid w:val="00243132"/>
    <w:rsid w:val="0024705F"/>
    <w:rsid w:val="002514C2"/>
    <w:rsid w:val="002534B9"/>
    <w:rsid w:val="002542C1"/>
    <w:rsid w:val="002635B4"/>
    <w:rsid w:val="00264413"/>
    <w:rsid w:val="00264DC5"/>
    <w:rsid w:val="002669B0"/>
    <w:rsid w:val="00270BFD"/>
    <w:rsid w:val="0027206F"/>
    <w:rsid w:val="00273BFE"/>
    <w:rsid w:val="002760C1"/>
    <w:rsid w:val="00280D89"/>
    <w:rsid w:val="00282A1C"/>
    <w:rsid w:val="00286F43"/>
    <w:rsid w:val="00290F6B"/>
    <w:rsid w:val="002A1890"/>
    <w:rsid w:val="002A3082"/>
    <w:rsid w:val="002A397B"/>
    <w:rsid w:val="002A3BCE"/>
    <w:rsid w:val="002A66CC"/>
    <w:rsid w:val="002B1D73"/>
    <w:rsid w:val="002B3306"/>
    <w:rsid w:val="002B3D2A"/>
    <w:rsid w:val="002B43AA"/>
    <w:rsid w:val="002B43E2"/>
    <w:rsid w:val="002B4A16"/>
    <w:rsid w:val="002B550E"/>
    <w:rsid w:val="002B6552"/>
    <w:rsid w:val="002C082F"/>
    <w:rsid w:val="002C2600"/>
    <w:rsid w:val="002C5F3F"/>
    <w:rsid w:val="002C6318"/>
    <w:rsid w:val="002C6897"/>
    <w:rsid w:val="002D05FD"/>
    <w:rsid w:val="002D0E47"/>
    <w:rsid w:val="002D5CB9"/>
    <w:rsid w:val="002F0603"/>
    <w:rsid w:val="00300BDA"/>
    <w:rsid w:val="00302851"/>
    <w:rsid w:val="0030405D"/>
    <w:rsid w:val="00304495"/>
    <w:rsid w:val="0030612F"/>
    <w:rsid w:val="003072FB"/>
    <w:rsid w:val="00307798"/>
    <w:rsid w:val="0031181B"/>
    <w:rsid w:val="003130B3"/>
    <w:rsid w:val="00317BD4"/>
    <w:rsid w:val="00321085"/>
    <w:rsid w:val="00323F42"/>
    <w:rsid w:val="00330B27"/>
    <w:rsid w:val="00333D1E"/>
    <w:rsid w:val="003354FA"/>
    <w:rsid w:val="00336879"/>
    <w:rsid w:val="00336E4D"/>
    <w:rsid w:val="00336EBF"/>
    <w:rsid w:val="00340CFA"/>
    <w:rsid w:val="00341635"/>
    <w:rsid w:val="00341A97"/>
    <w:rsid w:val="0034523E"/>
    <w:rsid w:val="00356F0F"/>
    <w:rsid w:val="003602C3"/>
    <w:rsid w:val="00362FAE"/>
    <w:rsid w:val="003735D7"/>
    <w:rsid w:val="00373D84"/>
    <w:rsid w:val="00375D1C"/>
    <w:rsid w:val="00382728"/>
    <w:rsid w:val="00382FC6"/>
    <w:rsid w:val="003873E0"/>
    <w:rsid w:val="00393338"/>
    <w:rsid w:val="00397459"/>
    <w:rsid w:val="003A0EBA"/>
    <w:rsid w:val="003A1320"/>
    <w:rsid w:val="003A23AD"/>
    <w:rsid w:val="003A2BE8"/>
    <w:rsid w:val="003A2C96"/>
    <w:rsid w:val="003A33F4"/>
    <w:rsid w:val="003A56D8"/>
    <w:rsid w:val="003A6874"/>
    <w:rsid w:val="003B3F1B"/>
    <w:rsid w:val="003B4DDC"/>
    <w:rsid w:val="003B5B19"/>
    <w:rsid w:val="003B5DFD"/>
    <w:rsid w:val="003B5F00"/>
    <w:rsid w:val="003C6345"/>
    <w:rsid w:val="003C72B8"/>
    <w:rsid w:val="003C74FF"/>
    <w:rsid w:val="003E097D"/>
    <w:rsid w:val="003E2A4B"/>
    <w:rsid w:val="003E2C4C"/>
    <w:rsid w:val="003E3A49"/>
    <w:rsid w:val="003F5FC0"/>
    <w:rsid w:val="0040109E"/>
    <w:rsid w:val="00405372"/>
    <w:rsid w:val="00414CA6"/>
    <w:rsid w:val="00415FC5"/>
    <w:rsid w:val="004208C1"/>
    <w:rsid w:val="004212E1"/>
    <w:rsid w:val="00424C46"/>
    <w:rsid w:val="004252DD"/>
    <w:rsid w:val="0042608C"/>
    <w:rsid w:val="00432DB3"/>
    <w:rsid w:val="00434252"/>
    <w:rsid w:val="004360F0"/>
    <w:rsid w:val="00436A24"/>
    <w:rsid w:val="004375DB"/>
    <w:rsid w:val="00437EFC"/>
    <w:rsid w:val="00442F48"/>
    <w:rsid w:val="00453837"/>
    <w:rsid w:val="004553CD"/>
    <w:rsid w:val="00456C5A"/>
    <w:rsid w:val="00460174"/>
    <w:rsid w:val="00465E8E"/>
    <w:rsid w:val="0046620A"/>
    <w:rsid w:val="00467144"/>
    <w:rsid w:val="004709CD"/>
    <w:rsid w:val="004804C9"/>
    <w:rsid w:val="00480913"/>
    <w:rsid w:val="0048130D"/>
    <w:rsid w:val="00490564"/>
    <w:rsid w:val="00490F34"/>
    <w:rsid w:val="004927C6"/>
    <w:rsid w:val="0049416D"/>
    <w:rsid w:val="004976B5"/>
    <w:rsid w:val="004976EB"/>
    <w:rsid w:val="00497AAD"/>
    <w:rsid w:val="004A0295"/>
    <w:rsid w:val="004A2514"/>
    <w:rsid w:val="004A306D"/>
    <w:rsid w:val="004A5439"/>
    <w:rsid w:val="004A6E64"/>
    <w:rsid w:val="004A7202"/>
    <w:rsid w:val="004B04CB"/>
    <w:rsid w:val="004B12AA"/>
    <w:rsid w:val="004B15A2"/>
    <w:rsid w:val="004B2F32"/>
    <w:rsid w:val="004C0583"/>
    <w:rsid w:val="004C12ED"/>
    <w:rsid w:val="004C34E8"/>
    <w:rsid w:val="004C3BCA"/>
    <w:rsid w:val="004D49EE"/>
    <w:rsid w:val="004E1A01"/>
    <w:rsid w:val="004E6FA3"/>
    <w:rsid w:val="004F342B"/>
    <w:rsid w:val="00504C02"/>
    <w:rsid w:val="00510B18"/>
    <w:rsid w:val="00511E0C"/>
    <w:rsid w:val="00523490"/>
    <w:rsid w:val="0052488B"/>
    <w:rsid w:val="005331F7"/>
    <w:rsid w:val="00535919"/>
    <w:rsid w:val="00537BA2"/>
    <w:rsid w:val="005404A3"/>
    <w:rsid w:val="0054445B"/>
    <w:rsid w:val="00545A59"/>
    <w:rsid w:val="00550AE5"/>
    <w:rsid w:val="00553D85"/>
    <w:rsid w:val="00560992"/>
    <w:rsid w:val="00560E96"/>
    <w:rsid w:val="005628C8"/>
    <w:rsid w:val="00564703"/>
    <w:rsid w:val="0056561A"/>
    <w:rsid w:val="005666E7"/>
    <w:rsid w:val="00567463"/>
    <w:rsid w:val="005705EC"/>
    <w:rsid w:val="00573DDC"/>
    <w:rsid w:val="00580E30"/>
    <w:rsid w:val="00584B2E"/>
    <w:rsid w:val="00585327"/>
    <w:rsid w:val="0058608B"/>
    <w:rsid w:val="00594975"/>
    <w:rsid w:val="005A0E5B"/>
    <w:rsid w:val="005A4E3E"/>
    <w:rsid w:val="005B236A"/>
    <w:rsid w:val="005B3342"/>
    <w:rsid w:val="005B3FE2"/>
    <w:rsid w:val="005B5151"/>
    <w:rsid w:val="005B5159"/>
    <w:rsid w:val="005B59C6"/>
    <w:rsid w:val="005B6494"/>
    <w:rsid w:val="005B7ED3"/>
    <w:rsid w:val="005C0FFD"/>
    <w:rsid w:val="005C2915"/>
    <w:rsid w:val="005C5077"/>
    <w:rsid w:val="005C51C5"/>
    <w:rsid w:val="005D1E35"/>
    <w:rsid w:val="005D48AA"/>
    <w:rsid w:val="005D522D"/>
    <w:rsid w:val="005D5C44"/>
    <w:rsid w:val="005D7737"/>
    <w:rsid w:val="005E3982"/>
    <w:rsid w:val="005E688C"/>
    <w:rsid w:val="005E68F7"/>
    <w:rsid w:val="005E6F13"/>
    <w:rsid w:val="005F16EB"/>
    <w:rsid w:val="005F1720"/>
    <w:rsid w:val="005F736B"/>
    <w:rsid w:val="006000AF"/>
    <w:rsid w:val="0060085D"/>
    <w:rsid w:val="006117E5"/>
    <w:rsid w:val="006118AA"/>
    <w:rsid w:val="006145CA"/>
    <w:rsid w:val="00620574"/>
    <w:rsid w:val="0062362B"/>
    <w:rsid w:val="00623BBB"/>
    <w:rsid w:val="00626855"/>
    <w:rsid w:val="0062690D"/>
    <w:rsid w:val="00627AE5"/>
    <w:rsid w:val="00627B67"/>
    <w:rsid w:val="00632A33"/>
    <w:rsid w:val="00636F7C"/>
    <w:rsid w:val="0064210C"/>
    <w:rsid w:val="00644F91"/>
    <w:rsid w:val="0064771B"/>
    <w:rsid w:val="00651AC0"/>
    <w:rsid w:val="006557C2"/>
    <w:rsid w:val="006622ED"/>
    <w:rsid w:val="00662D06"/>
    <w:rsid w:val="00663762"/>
    <w:rsid w:val="00663827"/>
    <w:rsid w:val="00663F53"/>
    <w:rsid w:val="00664C92"/>
    <w:rsid w:val="00664DC3"/>
    <w:rsid w:val="006654CB"/>
    <w:rsid w:val="0066750C"/>
    <w:rsid w:val="00667780"/>
    <w:rsid w:val="0067202B"/>
    <w:rsid w:val="0067278C"/>
    <w:rsid w:val="006742F6"/>
    <w:rsid w:val="0067592E"/>
    <w:rsid w:val="006870B9"/>
    <w:rsid w:val="0068717D"/>
    <w:rsid w:val="00687F5D"/>
    <w:rsid w:val="00697736"/>
    <w:rsid w:val="006A10F3"/>
    <w:rsid w:val="006A1B5E"/>
    <w:rsid w:val="006A25BC"/>
    <w:rsid w:val="006A63E0"/>
    <w:rsid w:val="006A685B"/>
    <w:rsid w:val="006A70E9"/>
    <w:rsid w:val="006A745C"/>
    <w:rsid w:val="006B0990"/>
    <w:rsid w:val="006B1072"/>
    <w:rsid w:val="006B14FA"/>
    <w:rsid w:val="006B23D3"/>
    <w:rsid w:val="006B4C3A"/>
    <w:rsid w:val="006B5624"/>
    <w:rsid w:val="006B6C23"/>
    <w:rsid w:val="006C5B50"/>
    <w:rsid w:val="006C60B4"/>
    <w:rsid w:val="006D092E"/>
    <w:rsid w:val="006D1A02"/>
    <w:rsid w:val="006D3B28"/>
    <w:rsid w:val="006D529C"/>
    <w:rsid w:val="006D530B"/>
    <w:rsid w:val="006F26AF"/>
    <w:rsid w:val="006F60A2"/>
    <w:rsid w:val="006F75C4"/>
    <w:rsid w:val="00700049"/>
    <w:rsid w:val="007018E8"/>
    <w:rsid w:val="007022EB"/>
    <w:rsid w:val="0070580E"/>
    <w:rsid w:val="00705B17"/>
    <w:rsid w:val="007074FC"/>
    <w:rsid w:val="00714389"/>
    <w:rsid w:val="007160A6"/>
    <w:rsid w:val="00716957"/>
    <w:rsid w:val="00720430"/>
    <w:rsid w:val="00721129"/>
    <w:rsid w:val="00724386"/>
    <w:rsid w:val="00733AFB"/>
    <w:rsid w:val="00737A40"/>
    <w:rsid w:val="007406D4"/>
    <w:rsid w:val="00741E90"/>
    <w:rsid w:val="0074495C"/>
    <w:rsid w:val="00755461"/>
    <w:rsid w:val="00757C01"/>
    <w:rsid w:val="00760359"/>
    <w:rsid w:val="00761713"/>
    <w:rsid w:val="007629CB"/>
    <w:rsid w:val="0076305D"/>
    <w:rsid w:val="00765801"/>
    <w:rsid w:val="0077137B"/>
    <w:rsid w:val="00777E95"/>
    <w:rsid w:val="007825F5"/>
    <w:rsid w:val="00784132"/>
    <w:rsid w:val="00784C54"/>
    <w:rsid w:val="00792A8E"/>
    <w:rsid w:val="00793DBE"/>
    <w:rsid w:val="007A1499"/>
    <w:rsid w:val="007A300E"/>
    <w:rsid w:val="007B5D02"/>
    <w:rsid w:val="007B68C9"/>
    <w:rsid w:val="007B7755"/>
    <w:rsid w:val="007C32F7"/>
    <w:rsid w:val="007C3EB1"/>
    <w:rsid w:val="007C4BEC"/>
    <w:rsid w:val="007D0617"/>
    <w:rsid w:val="007D12CD"/>
    <w:rsid w:val="007D2EC7"/>
    <w:rsid w:val="007D47AA"/>
    <w:rsid w:val="007E5D1A"/>
    <w:rsid w:val="007E70A4"/>
    <w:rsid w:val="007E7105"/>
    <w:rsid w:val="007E7BF7"/>
    <w:rsid w:val="007F0633"/>
    <w:rsid w:val="007F3B66"/>
    <w:rsid w:val="007F640E"/>
    <w:rsid w:val="007F65FD"/>
    <w:rsid w:val="007F697F"/>
    <w:rsid w:val="00812CFF"/>
    <w:rsid w:val="008143A7"/>
    <w:rsid w:val="0081694B"/>
    <w:rsid w:val="00816C0E"/>
    <w:rsid w:val="008174CD"/>
    <w:rsid w:val="0082287C"/>
    <w:rsid w:val="00825208"/>
    <w:rsid w:val="0082521A"/>
    <w:rsid w:val="00830D72"/>
    <w:rsid w:val="00834D94"/>
    <w:rsid w:val="008353F9"/>
    <w:rsid w:val="0083692B"/>
    <w:rsid w:val="0084187A"/>
    <w:rsid w:val="00841D89"/>
    <w:rsid w:val="008430A6"/>
    <w:rsid w:val="00846939"/>
    <w:rsid w:val="0085005B"/>
    <w:rsid w:val="00850B30"/>
    <w:rsid w:val="00854DEB"/>
    <w:rsid w:val="00855430"/>
    <w:rsid w:val="0085689C"/>
    <w:rsid w:val="00860CEA"/>
    <w:rsid w:val="00863FFF"/>
    <w:rsid w:val="008655EB"/>
    <w:rsid w:val="00874E71"/>
    <w:rsid w:val="0087777A"/>
    <w:rsid w:val="0088749D"/>
    <w:rsid w:val="00890459"/>
    <w:rsid w:val="00890D2E"/>
    <w:rsid w:val="00890E1A"/>
    <w:rsid w:val="00891562"/>
    <w:rsid w:val="00892652"/>
    <w:rsid w:val="0089562C"/>
    <w:rsid w:val="008964AE"/>
    <w:rsid w:val="00896EBA"/>
    <w:rsid w:val="0089761E"/>
    <w:rsid w:val="008A0254"/>
    <w:rsid w:val="008A30D3"/>
    <w:rsid w:val="008A7B67"/>
    <w:rsid w:val="008B0F6B"/>
    <w:rsid w:val="008B2312"/>
    <w:rsid w:val="008B3015"/>
    <w:rsid w:val="008B4DB9"/>
    <w:rsid w:val="008B5E0D"/>
    <w:rsid w:val="008B7405"/>
    <w:rsid w:val="008C310B"/>
    <w:rsid w:val="008D0893"/>
    <w:rsid w:val="008D2734"/>
    <w:rsid w:val="008D3D97"/>
    <w:rsid w:val="008E096A"/>
    <w:rsid w:val="008E5AC4"/>
    <w:rsid w:val="008E6B6F"/>
    <w:rsid w:val="009003E5"/>
    <w:rsid w:val="009034BB"/>
    <w:rsid w:val="00906A71"/>
    <w:rsid w:val="00906E1B"/>
    <w:rsid w:val="00907130"/>
    <w:rsid w:val="0091243C"/>
    <w:rsid w:val="00914626"/>
    <w:rsid w:val="00914D67"/>
    <w:rsid w:val="00915502"/>
    <w:rsid w:val="00920875"/>
    <w:rsid w:val="00923B27"/>
    <w:rsid w:val="00924C0A"/>
    <w:rsid w:val="0093131D"/>
    <w:rsid w:val="00931739"/>
    <w:rsid w:val="009367DB"/>
    <w:rsid w:val="00937111"/>
    <w:rsid w:val="00937A8D"/>
    <w:rsid w:val="00940938"/>
    <w:rsid w:val="00940E19"/>
    <w:rsid w:val="00941C21"/>
    <w:rsid w:val="00944ADE"/>
    <w:rsid w:val="00947083"/>
    <w:rsid w:val="00950F12"/>
    <w:rsid w:val="00951D25"/>
    <w:rsid w:val="0095203E"/>
    <w:rsid w:val="009540EA"/>
    <w:rsid w:val="00954259"/>
    <w:rsid w:val="00954ED0"/>
    <w:rsid w:val="00965B4D"/>
    <w:rsid w:val="009703D9"/>
    <w:rsid w:val="00971A18"/>
    <w:rsid w:val="00971A88"/>
    <w:rsid w:val="0097506A"/>
    <w:rsid w:val="009774DD"/>
    <w:rsid w:val="0097772B"/>
    <w:rsid w:val="00977FBE"/>
    <w:rsid w:val="00981671"/>
    <w:rsid w:val="009830A5"/>
    <w:rsid w:val="00985B55"/>
    <w:rsid w:val="00995C5B"/>
    <w:rsid w:val="009A2181"/>
    <w:rsid w:val="009A49A1"/>
    <w:rsid w:val="009A596F"/>
    <w:rsid w:val="009A7F00"/>
    <w:rsid w:val="009B0A65"/>
    <w:rsid w:val="009B330A"/>
    <w:rsid w:val="009B439E"/>
    <w:rsid w:val="009B5F57"/>
    <w:rsid w:val="009B60EE"/>
    <w:rsid w:val="009C5167"/>
    <w:rsid w:val="009C6A1E"/>
    <w:rsid w:val="009D0DED"/>
    <w:rsid w:val="009D1FE5"/>
    <w:rsid w:val="009D5A3B"/>
    <w:rsid w:val="009E1E1C"/>
    <w:rsid w:val="009E5588"/>
    <w:rsid w:val="009F12CA"/>
    <w:rsid w:val="009F3100"/>
    <w:rsid w:val="009F33BD"/>
    <w:rsid w:val="009F4038"/>
    <w:rsid w:val="00A00C8D"/>
    <w:rsid w:val="00A150A8"/>
    <w:rsid w:val="00A154F8"/>
    <w:rsid w:val="00A16949"/>
    <w:rsid w:val="00A17ED8"/>
    <w:rsid w:val="00A21213"/>
    <w:rsid w:val="00A23452"/>
    <w:rsid w:val="00A23B5B"/>
    <w:rsid w:val="00A24851"/>
    <w:rsid w:val="00A26B15"/>
    <w:rsid w:val="00A27882"/>
    <w:rsid w:val="00A3722E"/>
    <w:rsid w:val="00A411A7"/>
    <w:rsid w:val="00A448F3"/>
    <w:rsid w:val="00A4765A"/>
    <w:rsid w:val="00A5156C"/>
    <w:rsid w:val="00A53A4C"/>
    <w:rsid w:val="00A55460"/>
    <w:rsid w:val="00A56016"/>
    <w:rsid w:val="00A561AC"/>
    <w:rsid w:val="00A5727A"/>
    <w:rsid w:val="00A5798A"/>
    <w:rsid w:val="00A65428"/>
    <w:rsid w:val="00A6663C"/>
    <w:rsid w:val="00A671DE"/>
    <w:rsid w:val="00A67288"/>
    <w:rsid w:val="00A70099"/>
    <w:rsid w:val="00A73C59"/>
    <w:rsid w:val="00A75D5B"/>
    <w:rsid w:val="00A77239"/>
    <w:rsid w:val="00A77723"/>
    <w:rsid w:val="00A81BE3"/>
    <w:rsid w:val="00A83552"/>
    <w:rsid w:val="00A83BA1"/>
    <w:rsid w:val="00A8447F"/>
    <w:rsid w:val="00A844AD"/>
    <w:rsid w:val="00A851CA"/>
    <w:rsid w:val="00A85C74"/>
    <w:rsid w:val="00A86F6B"/>
    <w:rsid w:val="00A87E7A"/>
    <w:rsid w:val="00A90231"/>
    <w:rsid w:val="00A910BA"/>
    <w:rsid w:val="00A9554B"/>
    <w:rsid w:val="00A96352"/>
    <w:rsid w:val="00A96F2E"/>
    <w:rsid w:val="00AA2F5F"/>
    <w:rsid w:val="00AA3391"/>
    <w:rsid w:val="00AA3F98"/>
    <w:rsid w:val="00AA411D"/>
    <w:rsid w:val="00AA5ABF"/>
    <w:rsid w:val="00AA7B3B"/>
    <w:rsid w:val="00AB105B"/>
    <w:rsid w:val="00AB24C5"/>
    <w:rsid w:val="00AB65C5"/>
    <w:rsid w:val="00AB7EC5"/>
    <w:rsid w:val="00AC0365"/>
    <w:rsid w:val="00AC08DA"/>
    <w:rsid w:val="00AC1D71"/>
    <w:rsid w:val="00AC1EAC"/>
    <w:rsid w:val="00AC23DB"/>
    <w:rsid w:val="00AC3C7A"/>
    <w:rsid w:val="00AD1242"/>
    <w:rsid w:val="00AD19D6"/>
    <w:rsid w:val="00AD2C56"/>
    <w:rsid w:val="00AE09B6"/>
    <w:rsid w:val="00AE5463"/>
    <w:rsid w:val="00AE5F93"/>
    <w:rsid w:val="00AF09D8"/>
    <w:rsid w:val="00AF1E55"/>
    <w:rsid w:val="00AF6A9D"/>
    <w:rsid w:val="00B00067"/>
    <w:rsid w:val="00B021B4"/>
    <w:rsid w:val="00B03A31"/>
    <w:rsid w:val="00B0573F"/>
    <w:rsid w:val="00B12A32"/>
    <w:rsid w:val="00B13140"/>
    <w:rsid w:val="00B143D6"/>
    <w:rsid w:val="00B154D3"/>
    <w:rsid w:val="00B21E59"/>
    <w:rsid w:val="00B23B98"/>
    <w:rsid w:val="00B2515D"/>
    <w:rsid w:val="00B3000E"/>
    <w:rsid w:val="00B30C6C"/>
    <w:rsid w:val="00B317AC"/>
    <w:rsid w:val="00B338AB"/>
    <w:rsid w:val="00B345E3"/>
    <w:rsid w:val="00B356CF"/>
    <w:rsid w:val="00B46B8A"/>
    <w:rsid w:val="00B47F4E"/>
    <w:rsid w:val="00B51F1F"/>
    <w:rsid w:val="00B61E53"/>
    <w:rsid w:val="00B628E7"/>
    <w:rsid w:val="00B642C5"/>
    <w:rsid w:val="00B67588"/>
    <w:rsid w:val="00B756A8"/>
    <w:rsid w:val="00B866DF"/>
    <w:rsid w:val="00B870E1"/>
    <w:rsid w:val="00B87660"/>
    <w:rsid w:val="00B92633"/>
    <w:rsid w:val="00B93012"/>
    <w:rsid w:val="00BA4654"/>
    <w:rsid w:val="00BA4E32"/>
    <w:rsid w:val="00BA6EC7"/>
    <w:rsid w:val="00BB1B72"/>
    <w:rsid w:val="00BB3581"/>
    <w:rsid w:val="00BB4CFD"/>
    <w:rsid w:val="00BB4FE0"/>
    <w:rsid w:val="00BC143A"/>
    <w:rsid w:val="00BC1ACF"/>
    <w:rsid w:val="00BC7A79"/>
    <w:rsid w:val="00BD0670"/>
    <w:rsid w:val="00BD0A04"/>
    <w:rsid w:val="00BD2131"/>
    <w:rsid w:val="00BD37B7"/>
    <w:rsid w:val="00BD5146"/>
    <w:rsid w:val="00BE137C"/>
    <w:rsid w:val="00BE46DF"/>
    <w:rsid w:val="00BF2877"/>
    <w:rsid w:val="00BF34E1"/>
    <w:rsid w:val="00BF3DC1"/>
    <w:rsid w:val="00BF4185"/>
    <w:rsid w:val="00BF5428"/>
    <w:rsid w:val="00BF7BEE"/>
    <w:rsid w:val="00C00E3D"/>
    <w:rsid w:val="00C016FB"/>
    <w:rsid w:val="00C04A1F"/>
    <w:rsid w:val="00C05AC6"/>
    <w:rsid w:val="00C07B9F"/>
    <w:rsid w:val="00C1278A"/>
    <w:rsid w:val="00C12ADD"/>
    <w:rsid w:val="00C1595C"/>
    <w:rsid w:val="00C203FE"/>
    <w:rsid w:val="00C21534"/>
    <w:rsid w:val="00C2169E"/>
    <w:rsid w:val="00C21FE7"/>
    <w:rsid w:val="00C2413D"/>
    <w:rsid w:val="00C30979"/>
    <w:rsid w:val="00C309AF"/>
    <w:rsid w:val="00C31126"/>
    <w:rsid w:val="00C33986"/>
    <w:rsid w:val="00C34E94"/>
    <w:rsid w:val="00C34F14"/>
    <w:rsid w:val="00C35522"/>
    <w:rsid w:val="00C369F5"/>
    <w:rsid w:val="00C4077A"/>
    <w:rsid w:val="00C41530"/>
    <w:rsid w:val="00C41A7B"/>
    <w:rsid w:val="00C42268"/>
    <w:rsid w:val="00C43AAF"/>
    <w:rsid w:val="00C44E7F"/>
    <w:rsid w:val="00C451E3"/>
    <w:rsid w:val="00C51367"/>
    <w:rsid w:val="00C5407C"/>
    <w:rsid w:val="00C57AC5"/>
    <w:rsid w:val="00C6148A"/>
    <w:rsid w:val="00C64648"/>
    <w:rsid w:val="00C65A65"/>
    <w:rsid w:val="00C66B38"/>
    <w:rsid w:val="00C70BD1"/>
    <w:rsid w:val="00C76DFF"/>
    <w:rsid w:val="00C772EA"/>
    <w:rsid w:val="00C803C2"/>
    <w:rsid w:val="00C803ED"/>
    <w:rsid w:val="00C80C2D"/>
    <w:rsid w:val="00C84CDE"/>
    <w:rsid w:val="00C87B07"/>
    <w:rsid w:val="00C9457B"/>
    <w:rsid w:val="00C94CB4"/>
    <w:rsid w:val="00C95C13"/>
    <w:rsid w:val="00CA16A8"/>
    <w:rsid w:val="00CA5AAE"/>
    <w:rsid w:val="00CA7555"/>
    <w:rsid w:val="00CA7985"/>
    <w:rsid w:val="00CA7B98"/>
    <w:rsid w:val="00CB467E"/>
    <w:rsid w:val="00CB568F"/>
    <w:rsid w:val="00CC099E"/>
    <w:rsid w:val="00CC1327"/>
    <w:rsid w:val="00CC3A73"/>
    <w:rsid w:val="00CC3E6D"/>
    <w:rsid w:val="00CC7E2A"/>
    <w:rsid w:val="00CD1660"/>
    <w:rsid w:val="00CD501E"/>
    <w:rsid w:val="00CE07D2"/>
    <w:rsid w:val="00CE0AC6"/>
    <w:rsid w:val="00CE1E32"/>
    <w:rsid w:val="00CE356D"/>
    <w:rsid w:val="00CE5265"/>
    <w:rsid w:val="00CE65D5"/>
    <w:rsid w:val="00CE7211"/>
    <w:rsid w:val="00CF0095"/>
    <w:rsid w:val="00CF1D4F"/>
    <w:rsid w:val="00CF2E8E"/>
    <w:rsid w:val="00CF4CEE"/>
    <w:rsid w:val="00CF6B02"/>
    <w:rsid w:val="00CF7A71"/>
    <w:rsid w:val="00D00361"/>
    <w:rsid w:val="00D009B2"/>
    <w:rsid w:val="00D00B81"/>
    <w:rsid w:val="00D00E15"/>
    <w:rsid w:val="00D01228"/>
    <w:rsid w:val="00D02C95"/>
    <w:rsid w:val="00D049D2"/>
    <w:rsid w:val="00D058A6"/>
    <w:rsid w:val="00D105C3"/>
    <w:rsid w:val="00D113E7"/>
    <w:rsid w:val="00D1198E"/>
    <w:rsid w:val="00D14D1F"/>
    <w:rsid w:val="00D15A5E"/>
    <w:rsid w:val="00D171BC"/>
    <w:rsid w:val="00D22C0F"/>
    <w:rsid w:val="00D30755"/>
    <w:rsid w:val="00D3496F"/>
    <w:rsid w:val="00D36489"/>
    <w:rsid w:val="00D41E07"/>
    <w:rsid w:val="00D43DBB"/>
    <w:rsid w:val="00D5120B"/>
    <w:rsid w:val="00D627AD"/>
    <w:rsid w:val="00D634BE"/>
    <w:rsid w:val="00D64904"/>
    <w:rsid w:val="00D64B21"/>
    <w:rsid w:val="00D71511"/>
    <w:rsid w:val="00D74C49"/>
    <w:rsid w:val="00D754A0"/>
    <w:rsid w:val="00D7581A"/>
    <w:rsid w:val="00D76DD6"/>
    <w:rsid w:val="00D77BF9"/>
    <w:rsid w:val="00D81F44"/>
    <w:rsid w:val="00D82726"/>
    <w:rsid w:val="00D83176"/>
    <w:rsid w:val="00D90994"/>
    <w:rsid w:val="00D92285"/>
    <w:rsid w:val="00D949EA"/>
    <w:rsid w:val="00D97266"/>
    <w:rsid w:val="00DA2DD5"/>
    <w:rsid w:val="00DA3111"/>
    <w:rsid w:val="00DB23EC"/>
    <w:rsid w:val="00DB2F2B"/>
    <w:rsid w:val="00DB3A7E"/>
    <w:rsid w:val="00DD0914"/>
    <w:rsid w:val="00DD2B1B"/>
    <w:rsid w:val="00DD771B"/>
    <w:rsid w:val="00DD7A77"/>
    <w:rsid w:val="00DE0F54"/>
    <w:rsid w:val="00DE6D4B"/>
    <w:rsid w:val="00DE7667"/>
    <w:rsid w:val="00DE7B8C"/>
    <w:rsid w:val="00E00AF0"/>
    <w:rsid w:val="00E01632"/>
    <w:rsid w:val="00E046DD"/>
    <w:rsid w:val="00E0502E"/>
    <w:rsid w:val="00E16C3F"/>
    <w:rsid w:val="00E2025B"/>
    <w:rsid w:val="00E20F0E"/>
    <w:rsid w:val="00E2109B"/>
    <w:rsid w:val="00E240A3"/>
    <w:rsid w:val="00E3306C"/>
    <w:rsid w:val="00E33472"/>
    <w:rsid w:val="00E34A95"/>
    <w:rsid w:val="00E36EDA"/>
    <w:rsid w:val="00E37259"/>
    <w:rsid w:val="00E42960"/>
    <w:rsid w:val="00E46919"/>
    <w:rsid w:val="00E52BD2"/>
    <w:rsid w:val="00E534EE"/>
    <w:rsid w:val="00E541C0"/>
    <w:rsid w:val="00E543AA"/>
    <w:rsid w:val="00E57FA4"/>
    <w:rsid w:val="00E60638"/>
    <w:rsid w:val="00E612A7"/>
    <w:rsid w:val="00E62C9D"/>
    <w:rsid w:val="00E64BF2"/>
    <w:rsid w:val="00E6578A"/>
    <w:rsid w:val="00E672BC"/>
    <w:rsid w:val="00E7011E"/>
    <w:rsid w:val="00E72058"/>
    <w:rsid w:val="00E74E03"/>
    <w:rsid w:val="00E76907"/>
    <w:rsid w:val="00E776B5"/>
    <w:rsid w:val="00E77CF6"/>
    <w:rsid w:val="00E815B8"/>
    <w:rsid w:val="00E8530B"/>
    <w:rsid w:val="00E90C2E"/>
    <w:rsid w:val="00E92BA4"/>
    <w:rsid w:val="00E9311B"/>
    <w:rsid w:val="00E94EC0"/>
    <w:rsid w:val="00EB10E0"/>
    <w:rsid w:val="00EB3557"/>
    <w:rsid w:val="00EB761B"/>
    <w:rsid w:val="00EB78AC"/>
    <w:rsid w:val="00EC40D1"/>
    <w:rsid w:val="00EC4169"/>
    <w:rsid w:val="00EC5856"/>
    <w:rsid w:val="00EC60BC"/>
    <w:rsid w:val="00ED4356"/>
    <w:rsid w:val="00ED4FE6"/>
    <w:rsid w:val="00ED6DE5"/>
    <w:rsid w:val="00ED75ED"/>
    <w:rsid w:val="00ED7876"/>
    <w:rsid w:val="00EE3D0E"/>
    <w:rsid w:val="00EF4AA4"/>
    <w:rsid w:val="00EF543B"/>
    <w:rsid w:val="00EF70D0"/>
    <w:rsid w:val="00EF7358"/>
    <w:rsid w:val="00F0032C"/>
    <w:rsid w:val="00F00936"/>
    <w:rsid w:val="00F05EBD"/>
    <w:rsid w:val="00F14F62"/>
    <w:rsid w:val="00F24081"/>
    <w:rsid w:val="00F24B03"/>
    <w:rsid w:val="00F26FE0"/>
    <w:rsid w:val="00F3172B"/>
    <w:rsid w:val="00F357E2"/>
    <w:rsid w:val="00F35887"/>
    <w:rsid w:val="00F3772F"/>
    <w:rsid w:val="00F40604"/>
    <w:rsid w:val="00F4094B"/>
    <w:rsid w:val="00F44852"/>
    <w:rsid w:val="00F45234"/>
    <w:rsid w:val="00F46441"/>
    <w:rsid w:val="00F508BC"/>
    <w:rsid w:val="00F52682"/>
    <w:rsid w:val="00F52D78"/>
    <w:rsid w:val="00F53F4B"/>
    <w:rsid w:val="00F56AB1"/>
    <w:rsid w:val="00F60F1D"/>
    <w:rsid w:val="00F64E8A"/>
    <w:rsid w:val="00F6595A"/>
    <w:rsid w:val="00F703DB"/>
    <w:rsid w:val="00F704EA"/>
    <w:rsid w:val="00F7533A"/>
    <w:rsid w:val="00F75680"/>
    <w:rsid w:val="00F83BB7"/>
    <w:rsid w:val="00F86EED"/>
    <w:rsid w:val="00F870B0"/>
    <w:rsid w:val="00F90603"/>
    <w:rsid w:val="00F917BE"/>
    <w:rsid w:val="00F95CF2"/>
    <w:rsid w:val="00F9626A"/>
    <w:rsid w:val="00F96393"/>
    <w:rsid w:val="00F96A9E"/>
    <w:rsid w:val="00FA0B6B"/>
    <w:rsid w:val="00FA3B66"/>
    <w:rsid w:val="00FA7BFE"/>
    <w:rsid w:val="00FB4EF6"/>
    <w:rsid w:val="00FC0353"/>
    <w:rsid w:val="00FC2E43"/>
    <w:rsid w:val="00FC3BC8"/>
    <w:rsid w:val="00FC3F1E"/>
    <w:rsid w:val="00FC7310"/>
    <w:rsid w:val="00FD03FD"/>
    <w:rsid w:val="00FD1172"/>
    <w:rsid w:val="00FD517D"/>
    <w:rsid w:val="00FD52A3"/>
    <w:rsid w:val="00FD5FA1"/>
    <w:rsid w:val="00FD639C"/>
    <w:rsid w:val="00FD7D5D"/>
    <w:rsid w:val="00FE7D10"/>
    <w:rsid w:val="00FF16B8"/>
    <w:rsid w:val="00FF175B"/>
    <w:rsid w:val="00FF4507"/>
    <w:rsid w:val="00FF5E9A"/>
    <w:rsid w:val="00FF76E8"/>
    <w:rsid w:val="018A628C"/>
    <w:rsid w:val="01C00F50"/>
    <w:rsid w:val="01C76F27"/>
    <w:rsid w:val="01D54F5C"/>
    <w:rsid w:val="0295355F"/>
    <w:rsid w:val="02AA75DF"/>
    <w:rsid w:val="03D42A96"/>
    <w:rsid w:val="03F62DA4"/>
    <w:rsid w:val="04C82CA7"/>
    <w:rsid w:val="05114986"/>
    <w:rsid w:val="0533663E"/>
    <w:rsid w:val="06A40E8E"/>
    <w:rsid w:val="07732EAB"/>
    <w:rsid w:val="077741FC"/>
    <w:rsid w:val="086F3741"/>
    <w:rsid w:val="095D2136"/>
    <w:rsid w:val="09F51F79"/>
    <w:rsid w:val="0AE71698"/>
    <w:rsid w:val="0AF74727"/>
    <w:rsid w:val="0B8F70D0"/>
    <w:rsid w:val="0BAA5B77"/>
    <w:rsid w:val="0BC8771C"/>
    <w:rsid w:val="0C3D22D1"/>
    <w:rsid w:val="0C4D67D1"/>
    <w:rsid w:val="0C5072AB"/>
    <w:rsid w:val="0D731495"/>
    <w:rsid w:val="0D8A4C0E"/>
    <w:rsid w:val="0E2203CD"/>
    <w:rsid w:val="0E6E00E3"/>
    <w:rsid w:val="0EC01B29"/>
    <w:rsid w:val="0EF0055F"/>
    <w:rsid w:val="0EFB6A03"/>
    <w:rsid w:val="0F62390E"/>
    <w:rsid w:val="1132519D"/>
    <w:rsid w:val="114627A7"/>
    <w:rsid w:val="11D65752"/>
    <w:rsid w:val="121E127A"/>
    <w:rsid w:val="12727054"/>
    <w:rsid w:val="12D14D7B"/>
    <w:rsid w:val="131D38A0"/>
    <w:rsid w:val="13385187"/>
    <w:rsid w:val="134D0CFF"/>
    <w:rsid w:val="13E62E35"/>
    <w:rsid w:val="145224FA"/>
    <w:rsid w:val="145F6743"/>
    <w:rsid w:val="155362A8"/>
    <w:rsid w:val="17425C3C"/>
    <w:rsid w:val="1755520D"/>
    <w:rsid w:val="184568E1"/>
    <w:rsid w:val="18B974C1"/>
    <w:rsid w:val="18DD33D4"/>
    <w:rsid w:val="192E3993"/>
    <w:rsid w:val="19351873"/>
    <w:rsid w:val="194C29C9"/>
    <w:rsid w:val="1A2F3B70"/>
    <w:rsid w:val="1A4F57EC"/>
    <w:rsid w:val="1A8573CD"/>
    <w:rsid w:val="1B9060ED"/>
    <w:rsid w:val="1BB169A8"/>
    <w:rsid w:val="1BEA25AC"/>
    <w:rsid w:val="1C6A7DAF"/>
    <w:rsid w:val="1D532055"/>
    <w:rsid w:val="1D6F182E"/>
    <w:rsid w:val="1E7F2B93"/>
    <w:rsid w:val="1EA054C6"/>
    <w:rsid w:val="1FEF2D7B"/>
    <w:rsid w:val="1FF35AF5"/>
    <w:rsid w:val="20977BD4"/>
    <w:rsid w:val="20D82926"/>
    <w:rsid w:val="21182614"/>
    <w:rsid w:val="21325C76"/>
    <w:rsid w:val="23020B0A"/>
    <w:rsid w:val="2322375E"/>
    <w:rsid w:val="23492952"/>
    <w:rsid w:val="236B18F8"/>
    <w:rsid w:val="246825B9"/>
    <w:rsid w:val="246F588B"/>
    <w:rsid w:val="24AA6B49"/>
    <w:rsid w:val="25171183"/>
    <w:rsid w:val="25C17730"/>
    <w:rsid w:val="263317DE"/>
    <w:rsid w:val="268247D4"/>
    <w:rsid w:val="27766813"/>
    <w:rsid w:val="27B954C9"/>
    <w:rsid w:val="28BD6214"/>
    <w:rsid w:val="291814EB"/>
    <w:rsid w:val="291838DE"/>
    <w:rsid w:val="296C133B"/>
    <w:rsid w:val="2AAA17C0"/>
    <w:rsid w:val="2BBE7F73"/>
    <w:rsid w:val="2C6A4EF8"/>
    <w:rsid w:val="2C8B5ED0"/>
    <w:rsid w:val="2CBE3592"/>
    <w:rsid w:val="2D0D0797"/>
    <w:rsid w:val="2D6D7EE7"/>
    <w:rsid w:val="2D9F5C9B"/>
    <w:rsid w:val="2E3F6F72"/>
    <w:rsid w:val="30081DD2"/>
    <w:rsid w:val="30C220DC"/>
    <w:rsid w:val="30CF447D"/>
    <w:rsid w:val="30FC7580"/>
    <w:rsid w:val="30FD2B01"/>
    <w:rsid w:val="310E4590"/>
    <w:rsid w:val="31526399"/>
    <w:rsid w:val="318467F8"/>
    <w:rsid w:val="32254667"/>
    <w:rsid w:val="32BD4F09"/>
    <w:rsid w:val="32CD5DD1"/>
    <w:rsid w:val="32E11706"/>
    <w:rsid w:val="333A41AC"/>
    <w:rsid w:val="33AA145C"/>
    <w:rsid w:val="35486133"/>
    <w:rsid w:val="35B71B50"/>
    <w:rsid w:val="361E1541"/>
    <w:rsid w:val="374367E9"/>
    <w:rsid w:val="3779739D"/>
    <w:rsid w:val="37821C5C"/>
    <w:rsid w:val="378B6065"/>
    <w:rsid w:val="378D48AF"/>
    <w:rsid w:val="37944F84"/>
    <w:rsid w:val="37F222D9"/>
    <w:rsid w:val="37F640AB"/>
    <w:rsid w:val="382E5616"/>
    <w:rsid w:val="38495BD5"/>
    <w:rsid w:val="388A2848"/>
    <w:rsid w:val="38935C8C"/>
    <w:rsid w:val="38F00F86"/>
    <w:rsid w:val="392E5C98"/>
    <w:rsid w:val="39E95537"/>
    <w:rsid w:val="3A966B8F"/>
    <w:rsid w:val="3AE936BE"/>
    <w:rsid w:val="3B767A52"/>
    <w:rsid w:val="3BA014C8"/>
    <w:rsid w:val="3BE63123"/>
    <w:rsid w:val="3BF26D8A"/>
    <w:rsid w:val="3C700C3E"/>
    <w:rsid w:val="3CA92428"/>
    <w:rsid w:val="3E6622F9"/>
    <w:rsid w:val="3EA22AA1"/>
    <w:rsid w:val="3ECB6F5C"/>
    <w:rsid w:val="3F063CA4"/>
    <w:rsid w:val="3F3E2353"/>
    <w:rsid w:val="3F8B6630"/>
    <w:rsid w:val="40012E01"/>
    <w:rsid w:val="40EA524E"/>
    <w:rsid w:val="41DB61E8"/>
    <w:rsid w:val="421F1407"/>
    <w:rsid w:val="432D1637"/>
    <w:rsid w:val="43300B61"/>
    <w:rsid w:val="44E670E9"/>
    <w:rsid w:val="456309F6"/>
    <w:rsid w:val="45F41D90"/>
    <w:rsid w:val="461E5780"/>
    <w:rsid w:val="46366A55"/>
    <w:rsid w:val="463F3F6F"/>
    <w:rsid w:val="467C08CC"/>
    <w:rsid w:val="4691024D"/>
    <w:rsid w:val="47D40AD3"/>
    <w:rsid w:val="48896CA8"/>
    <w:rsid w:val="49063311"/>
    <w:rsid w:val="49624C8D"/>
    <w:rsid w:val="4A7162AD"/>
    <w:rsid w:val="4AF86C03"/>
    <w:rsid w:val="4B296814"/>
    <w:rsid w:val="4B5945BA"/>
    <w:rsid w:val="4C226FCB"/>
    <w:rsid w:val="4D502AF2"/>
    <w:rsid w:val="4DCB12AF"/>
    <w:rsid w:val="4EC264E5"/>
    <w:rsid w:val="4F236D89"/>
    <w:rsid w:val="503B1B23"/>
    <w:rsid w:val="5167385A"/>
    <w:rsid w:val="51C47E75"/>
    <w:rsid w:val="528D6BDD"/>
    <w:rsid w:val="53375370"/>
    <w:rsid w:val="53753B43"/>
    <w:rsid w:val="53AC6428"/>
    <w:rsid w:val="53BA77A9"/>
    <w:rsid w:val="53E37A6F"/>
    <w:rsid w:val="53E56DD1"/>
    <w:rsid w:val="54B0031A"/>
    <w:rsid w:val="550E7581"/>
    <w:rsid w:val="55BE25C3"/>
    <w:rsid w:val="56530930"/>
    <w:rsid w:val="567D1806"/>
    <w:rsid w:val="5700681D"/>
    <w:rsid w:val="57296A0D"/>
    <w:rsid w:val="589B4B4E"/>
    <w:rsid w:val="58AE5C77"/>
    <w:rsid w:val="59904207"/>
    <w:rsid w:val="59C22C95"/>
    <w:rsid w:val="5B033D4D"/>
    <w:rsid w:val="5B927E6F"/>
    <w:rsid w:val="5C07178B"/>
    <w:rsid w:val="5C330423"/>
    <w:rsid w:val="5CD252D1"/>
    <w:rsid w:val="5D1531B5"/>
    <w:rsid w:val="5D401365"/>
    <w:rsid w:val="5E860B97"/>
    <w:rsid w:val="5F2B75C2"/>
    <w:rsid w:val="5FF7563F"/>
    <w:rsid w:val="60B7546F"/>
    <w:rsid w:val="61B63747"/>
    <w:rsid w:val="620031C7"/>
    <w:rsid w:val="62D80E0A"/>
    <w:rsid w:val="63046F89"/>
    <w:rsid w:val="63563A46"/>
    <w:rsid w:val="64EC3F6A"/>
    <w:rsid w:val="64EC7EC6"/>
    <w:rsid w:val="651B533C"/>
    <w:rsid w:val="65456D2F"/>
    <w:rsid w:val="66D53FCE"/>
    <w:rsid w:val="66E061C9"/>
    <w:rsid w:val="66E63472"/>
    <w:rsid w:val="672C04AE"/>
    <w:rsid w:val="67C71313"/>
    <w:rsid w:val="67E70ED3"/>
    <w:rsid w:val="684E3430"/>
    <w:rsid w:val="690177A7"/>
    <w:rsid w:val="696D72D8"/>
    <w:rsid w:val="6AAB0F10"/>
    <w:rsid w:val="6B5633F2"/>
    <w:rsid w:val="6B9D5EB6"/>
    <w:rsid w:val="6DDD7632"/>
    <w:rsid w:val="6E017444"/>
    <w:rsid w:val="6E4A494B"/>
    <w:rsid w:val="6E60213D"/>
    <w:rsid w:val="6F0E761C"/>
    <w:rsid w:val="6F7F158A"/>
    <w:rsid w:val="6FA55D67"/>
    <w:rsid w:val="6FE72DAB"/>
    <w:rsid w:val="7009342D"/>
    <w:rsid w:val="70326980"/>
    <w:rsid w:val="709265F5"/>
    <w:rsid w:val="70A974F3"/>
    <w:rsid w:val="70D333A2"/>
    <w:rsid w:val="711267F1"/>
    <w:rsid w:val="712D2EBD"/>
    <w:rsid w:val="71F247A2"/>
    <w:rsid w:val="72AE4B91"/>
    <w:rsid w:val="72B34E05"/>
    <w:rsid w:val="72E162A6"/>
    <w:rsid w:val="7300343E"/>
    <w:rsid w:val="73E80E66"/>
    <w:rsid w:val="74385499"/>
    <w:rsid w:val="748E0457"/>
    <w:rsid w:val="75E55C1E"/>
    <w:rsid w:val="769305D8"/>
    <w:rsid w:val="76FE47C3"/>
    <w:rsid w:val="773C1E8B"/>
    <w:rsid w:val="77B80055"/>
    <w:rsid w:val="78172F60"/>
    <w:rsid w:val="78AD34BD"/>
    <w:rsid w:val="78C9626E"/>
    <w:rsid w:val="78D51621"/>
    <w:rsid w:val="798B056D"/>
    <w:rsid w:val="79F12D6B"/>
    <w:rsid w:val="7A396538"/>
    <w:rsid w:val="7B862159"/>
    <w:rsid w:val="7B865C3B"/>
    <w:rsid w:val="7BE475A1"/>
    <w:rsid w:val="7D343BC6"/>
    <w:rsid w:val="7DD01D06"/>
    <w:rsid w:val="7F1E5FA2"/>
    <w:rsid w:val="7F4C10E0"/>
    <w:rsid w:val="7FAA316B"/>
    <w:rsid w:val="7FB7117A"/>
    <w:rsid w:val="7FBB6420"/>
    <w:rsid w:val="7FED65FE"/>
    <w:rsid w:val="BEFC6F7D"/>
    <w:rsid w:val="E7F74DCD"/>
    <w:rsid w:val="F77207A1"/>
    <w:rsid w:val="FBFB9A91"/>
    <w:rsid w:val="FFFFB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42"/>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78"/>
    <w:qFormat/>
    <w:uiPriority w:val="0"/>
    <w:pPr>
      <w:keepNext/>
      <w:keepLines/>
      <w:spacing w:before="120" w:after="120"/>
      <w:outlineLvl w:val="1"/>
    </w:pPr>
    <w:rPr>
      <w:rFonts w:ascii="Arial" w:hAnsi="Arial" w:eastAsia="仿宋"/>
      <w:b/>
      <w:bCs/>
      <w:kern w:val="2"/>
      <w:sz w:val="28"/>
      <w:szCs w:val="32"/>
    </w:rPr>
  </w:style>
  <w:style w:type="paragraph" w:styleId="6">
    <w:name w:val="heading 3"/>
    <w:basedOn w:val="1"/>
    <w:next w:val="7"/>
    <w:qFormat/>
    <w:uiPriority w:val="0"/>
    <w:pPr>
      <w:keepNext/>
      <w:keepLines/>
      <w:spacing w:before="120" w:after="120"/>
      <w:outlineLvl w:val="2"/>
    </w:pPr>
    <w:rPr>
      <w:rFonts w:eastAsia="仿宋"/>
      <w:b/>
      <w:sz w:val="30"/>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7"/>
    <w:qFormat/>
    <w:uiPriority w:val="0"/>
    <w:pPr>
      <w:keepNext/>
      <w:keepLines/>
      <w:spacing w:before="280" w:after="290" w:line="372" w:lineRule="auto"/>
      <w:outlineLvl w:val="4"/>
    </w:pPr>
    <w:rPr>
      <w:b/>
      <w:sz w:val="28"/>
    </w:rPr>
  </w:style>
  <w:style w:type="paragraph" w:styleId="10">
    <w:name w:val="heading 6"/>
    <w:basedOn w:val="1"/>
    <w:next w:val="7"/>
    <w:qFormat/>
    <w:uiPriority w:val="0"/>
    <w:pPr>
      <w:keepNext/>
      <w:keepLines/>
      <w:spacing w:before="240" w:after="64" w:line="317" w:lineRule="auto"/>
      <w:outlineLvl w:val="5"/>
    </w:pPr>
    <w:rPr>
      <w:rFonts w:ascii="Arial" w:hAnsi="Arial" w:eastAsia="黑体"/>
      <w:b/>
      <w:sz w:val="24"/>
    </w:rPr>
  </w:style>
  <w:style w:type="paragraph" w:styleId="11">
    <w:name w:val="heading 7"/>
    <w:basedOn w:val="1"/>
    <w:next w:val="7"/>
    <w:qFormat/>
    <w:uiPriority w:val="0"/>
    <w:pPr>
      <w:keepNext/>
      <w:keepLines/>
      <w:spacing w:before="240" w:after="64" w:line="317" w:lineRule="auto"/>
      <w:outlineLvl w:val="6"/>
    </w:pPr>
    <w:rPr>
      <w:b/>
      <w:sz w:val="24"/>
    </w:rPr>
  </w:style>
  <w:style w:type="paragraph" w:styleId="12">
    <w:name w:val="heading 8"/>
    <w:basedOn w:val="1"/>
    <w:next w:val="7"/>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7"/>
    <w:qFormat/>
    <w:uiPriority w:val="0"/>
    <w:pPr>
      <w:keepNext/>
      <w:keepLines/>
      <w:spacing w:before="240" w:after="64" w:line="317" w:lineRule="auto"/>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7">
    <w:name w:val="Normal Indent"/>
    <w:basedOn w:val="1"/>
    <w:qFormat/>
    <w:uiPriority w:val="99"/>
    <w:pPr>
      <w:ind w:firstLine="420" w:firstLineChars="200"/>
    </w:pPr>
  </w:style>
  <w:style w:type="paragraph" w:styleId="14">
    <w:name w:val="Document Map"/>
    <w:basedOn w:val="1"/>
    <w:qFormat/>
    <w:uiPriority w:val="0"/>
    <w:pPr>
      <w:shd w:val="clear" w:color="auto" w:fill="000080"/>
    </w:pPr>
  </w:style>
  <w:style w:type="paragraph" w:styleId="15">
    <w:name w:val="annotation text"/>
    <w:basedOn w:val="1"/>
    <w:link w:val="79"/>
    <w:qFormat/>
    <w:uiPriority w:val="0"/>
    <w:pPr>
      <w:jc w:val="left"/>
    </w:pPr>
    <w:rPr>
      <w:rFonts w:ascii="Times New Roman"/>
      <w:kern w:val="2"/>
      <w:sz w:val="21"/>
      <w:szCs w:val="24"/>
    </w:rPr>
  </w:style>
  <w:style w:type="paragraph" w:styleId="16">
    <w:name w:val="Body Text 3"/>
    <w:basedOn w:val="1"/>
    <w:qFormat/>
    <w:uiPriority w:val="0"/>
    <w:pPr>
      <w:spacing w:line="500" w:lineRule="exact"/>
    </w:pPr>
    <w:rPr>
      <w:b/>
      <w:bCs/>
      <w:sz w:val="24"/>
    </w:rPr>
  </w:style>
  <w:style w:type="paragraph" w:styleId="17">
    <w:name w:val="Body Text Indent"/>
    <w:basedOn w:val="1"/>
    <w:qFormat/>
    <w:uiPriority w:val="0"/>
    <w:pPr>
      <w:ind w:firstLine="630"/>
    </w:pPr>
    <w:rPr>
      <w:sz w:val="32"/>
    </w:rPr>
  </w:style>
  <w:style w:type="paragraph" w:styleId="18">
    <w:name w:val="Block Text"/>
    <w:basedOn w:val="1"/>
    <w:qFormat/>
    <w:uiPriority w:val="0"/>
    <w:pPr>
      <w:spacing w:line="400" w:lineRule="exact"/>
      <w:ind w:left="-359" w:leftChars="-171" w:right="-687" w:rightChars="-327" w:firstLine="720"/>
    </w:pPr>
    <w:rPr>
      <w:rFonts w:hAnsi="宋体"/>
      <w:sz w:val="28"/>
    </w:rPr>
  </w:style>
  <w:style w:type="paragraph" w:styleId="19">
    <w:name w:val="toc 3"/>
    <w:basedOn w:val="1"/>
    <w:next w:val="1"/>
    <w:semiHidden/>
    <w:unhideWhenUsed/>
    <w:qFormat/>
    <w:uiPriority w:val="0"/>
    <w:pPr>
      <w:ind w:left="840" w:leftChars="400"/>
    </w:pPr>
  </w:style>
  <w:style w:type="paragraph" w:styleId="20">
    <w:name w:val="Plain Text"/>
    <w:basedOn w:val="1"/>
    <w:qFormat/>
    <w:uiPriority w:val="0"/>
    <w:rPr>
      <w:rFonts w:hAnsi="Courier New" w:cs="Courier New"/>
      <w:szCs w:val="21"/>
    </w:rPr>
  </w:style>
  <w:style w:type="paragraph" w:styleId="21">
    <w:name w:val="Date"/>
    <w:basedOn w:val="1"/>
    <w:next w:val="1"/>
    <w:qFormat/>
    <w:uiPriority w:val="0"/>
    <w:rPr>
      <w:rFonts w:eastAsia="黑体"/>
      <w:sz w:val="36"/>
    </w:rPr>
  </w:style>
  <w:style w:type="paragraph" w:styleId="22">
    <w:name w:val="Body Text Indent 2"/>
    <w:basedOn w:val="1"/>
    <w:qFormat/>
    <w:uiPriority w:val="0"/>
    <w:pPr>
      <w:ind w:firstLine="630"/>
    </w:pPr>
    <w:rPr>
      <w:sz w:val="32"/>
    </w:rPr>
  </w:style>
  <w:style w:type="paragraph" w:styleId="23">
    <w:name w:val="Balloon Text"/>
    <w:basedOn w:val="1"/>
    <w:link w:val="89"/>
    <w:qFormat/>
    <w:uiPriority w:val="0"/>
    <w:rPr>
      <w:rFonts w:ascii="Times New Roman"/>
      <w:kern w:val="2"/>
      <w:sz w:val="18"/>
      <w:szCs w:val="18"/>
    </w:rPr>
  </w:style>
  <w:style w:type="paragraph" w:styleId="24">
    <w:name w:val="footer"/>
    <w:basedOn w:val="1"/>
    <w:qFormat/>
    <w:uiPriority w:val="0"/>
    <w:pPr>
      <w:tabs>
        <w:tab w:val="center" w:pos="4153"/>
        <w:tab w:val="right" w:pos="8306"/>
      </w:tabs>
      <w:snapToGrid w:val="0"/>
      <w:jc w:val="left"/>
    </w:pPr>
    <w:rPr>
      <w:sz w:val="18"/>
    </w:rPr>
  </w:style>
  <w:style w:type="paragraph" w:styleId="25">
    <w:name w:val="header"/>
    <w:basedOn w:val="1"/>
    <w:link w:val="86"/>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39"/>
  </w:style>
  <w:style w:type="paragraph" w:styleId="27">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28">
    <w:name w:val="toc 2"/>
    <w:basedOn w:val="1"/>
    <w:next w:val="1"/>
    <w:semiHidden/>
    <w:unhideWhenUsed/>
    <w:qFormat/>
    <w:uiPriority w:val="0"/>
    <w:pPr>
      <w:ind w:left="420" w:leftChars="200"/>
    </w:pPr>
  </w:style>
  <w:style w:type="paragraph" w:styleId="29">
    <w:name w:val="Body Text 2"/>
    <w:basedOn w:val="1"/>
    <w:qFormat/>
    <w:uiPriority w:val="0"/>
    <w:pPr>
      <w:spacing w:after="120" w:line="480" w:lineRule="auto"/>
    </w:pPr>
  </w:style>
  <w:style w:type="paragraph" w:styleId="30">
    <w:name w:val="Normal (Web)"/>
    <w:basedOn w:val="1"/>
    <w:qFormat/>
    <w:uiPriority w:val="99"/>
    <w:pPr>
      <w:widowControl/>
      <w:spacing w:before="100" w:beforeAutospacing="1" w:after="100" w:afterAutospacing="1"/>
      <w:jc w:val="left"/>
    </w:pPr>
    <w:rPr>
      <w:rFonts w:hAnsi="宋体"/>
      <w:sz w:val="18"/>
      <w:szCs w:val="18"/>
    </w:rPr>
  </w:style>
  <w:style w:type="paragraph" w:styleId="31">
    <w:name w:val="Title"/>
    <w:basedOn w:val="1"/>
    <w:next w:val="1"/>
    <w:link w:val="92"/>
    <w:qFormat/>
    <w:uiPriority w:val="99"/>
    <w:pPr>
      <w:spacing w:before="240" w:after="60"/>
      <w:jc w:val="center"/>
      <w:outlineLvl w:val="0"/>
    </w:pPr>
    <w:rPr>
      <w:rFonts w:ascii="Cambria" w:hAnsi="Cambria"/>
      <w:b/>
      <w:bCs/>
      <w:sz w:val="32"/>
      <w:szCs w:val="32"/>
    </w:rPr>
  </w:style>
  <w:style w:type="paragraph" w:styleId="32">
    <w:name w:val="annotation subject"/>
    <w:basedOn w:val="15"/>
    <w:next w:val="15"/>
    <w:link w:val="81"/>
    <w:qFormat/>
    <w:uiPriority w:val="0"/>
    <w:rPr>
      <w:b/>
      <w:bCs/>
    </w:rPr>
  </w:style>
  <w:style w:type="paragraph" w:styleId="33">
    <w:name w:val="Body Text First Indent"/>
    <w:basedOn w:val="2"/>
    <w:qFormat/>
    <w:uiPriority w:val="0"/>
    <w:pPr>
      <w:ind w:firstLine="420" w:firstLineChars="100"/>
    </w:pPr>
  </w:style>
  <w:style w:type="table" w:styleId="35">
    <w:name w:val="Table Grid"/>
    <w:basedOn w:val="34"/>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qFormat/>
    <w:uiPriority w:val="0"/>
    <w:rPr>
      <w:color w:val="800080"/>
      <w:u w:val="single"/>
    </w:rPr>
  </w:style>
  <w:style w:type="character" w:styleId="39">
    <w:name w:val="Emphasis"/>
    <w:qFormat/>
    <w:uiPriority w:val="0"/>
    <w:rPr>
      <w:i/>
      <w:iCs/>
    </w:rPr>
  </w:style>
  <w:style w:type="character" w:styleId="40">
    <w:name w:val="Hyperlink"/>
    <w:qFormat/>
    <w:uiPriority w:val="99"/>
    <w:rPr>
      <w:color w:val="0000FF"/>
      <w:u w:val="single"/>
    </w:rPr>
  </w:style>
  <w:style w:type="character" w:styleId="41">
    <w:name w:val="annotation reference"/>
    <w:qFormat/>
    <w:uiPriority w:val="99"/>
    <w:rPr>
      <w:sz w:val="21"/>
    </w:rPr>
  </w:style>
  <w:style w:type="character" w:customStyle="1" w:styleId="42">
    <w:name w:val="标题 1 字符"/>
    <w:link w:val="4"/>
    <w:qFormat/>
    <w:locked/>
    <w:uiPriority w:val="99"/>
    <w:rPr>
      <w:rFonts w:ascii="宋体"/>
      <w:b/>
      <w:bCs/>
      <w:kern w:val="44"/>
      <w:sz w:val="44"/>
      <w:szCs w:val="44"/>
    </w:rPr>
  </w:style>
  <w:style w:type="paragraph" w:customStyle="1" w:styleId="43">
    <w:name w:val="标题 5（有编号）（绿盟科技）"/>
    <w:basedOn w:val="1"/>
    <w:next w:val="44"/>
    <w:qFormat/>
    <w:uiPriority w:val="99"/>
    <w:pPr>
      <w:keepNext/>
      <w:keepLines/>
      <w:numPr>
        <w:ilvl w:val="4"/>
        <w:numId w:val="1"/>
      </w:numPr>
      <w:spacing w:before="280" w:after="156" w:line="376" w:lineRule="auto"/>
      <w:ind w:left="0" w:leftChars="0"/>
      <w:outlineLvl w:val="4"/>
    </w:pPr>
    <w:rPr>
      <w:rFonts w:ascii="Arial" w:hAnsi="Arial" w:eastAsia="黑体" w:cs="Arial"/>
      <w:b/>
      <w:bCs/>
    </w:rPr>
  </w:style>
  <w:style w:type="paragraph" w:customStyle="1" w:styleId="4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5">
    <w:name w:val="Char Char Char 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列出段落1"/>
    <w:basedOn w:val="1"/>
    <w:qFormat/>
    <w:uiPriority w:val="0"/>
    <w:pPr>
      <w:widowControl/>
      <w:ind w:firstLine="420" w:firstLineChars="200"/>
      <w:jc w:val="left"/>
    </w:pPr>
    <w:rPr>
      <w:rFonts w:hAnsi="宋体" w:cs="宋体"/>
      <w:sz w:val="24"/>
    </w:rPr>
  </w:style>
  <w:style w:type="paragraph" w:customStyle="1" w:styleId="49">
    <w:name w:val="Char Char Char Char Char Char1 Char"/>
    <w:basedOn w:val="14"/>
    <w:qFormat/>
    <w:uiPriority w:val="0"/>
    <w:rPr>
      <w:rFonts w:ascii="Tahoma" w:hAnsi="Tahoma"/>
      <w:sz w:val="24"/>
      <w:szCs w:val="24"/>
    </w:rPr>
  </w:style>
  <w:style w:type="paragraph" w:customStyle="1" w:styleId="50">
    <w:name w:val="表格"/>
    <w:basedOn w:val="1"/>
    <w:qFormat/>
    <w:uiPriority w:val="0"/>
    <w:pPr>
      <w:spacing w:line="400" w:lineRule="exact"/>
    </w:pPr>
    <w:rPr>
      <w:sz w:val="24"/>
    </w:rPr>
  </w:style>
  <w:style w:type="paragraph" w:customStyle="1" w:styleId="5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
    <w:name w:val="Char11"/>
    <w:basedOn w:val="1"/>
    <w:qFormat/>
    <w:uiPriority w:val="0"/>
    <w:rPr>
      <w:rFonts w:ascii="仿宋_GB2312" w:eastAsia="仿宋_GB2312"/>
      <w:b/>
      <w:sz w:val="32"/>
      <w:szCs w:val="32"/>
    </w:rPr>
  </w:style>
  <w:style w:type="paragraph" w:customStyle="1" w:styleId="53">
    <w:name w:val="纯文本1"/>
    <w:basedOn w:val="1"/>
    <w:qFormat/>
    <w:uiPriority w:val="0"/>
    <w:pPr>
      <w:adjustRightInd w:val="0"/>
      <w:textAlignment w:val="baseline"/>
    </w:pPr>
    <w:rPr>
      <w:rFonts w:hAnsi="Courier New"/>
    </w:rPr>
  </w:style>
  <w:style w:type="paragraph" w:customStyle="1" w:styleId="5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5">
    <w:name w:val="样式 首行缩进:  2 字符"/>
    <w:basedOn w:val="1"/>
    <w:qFormat/>
    <w:uiPriority w:val="0"/>
    <w:pPr>
      <w:spacing w:line="400" w:lineRule="exact"/>
      <w:ind w:firstLine="200" w:firstLineChars="200"/>
    </w:pPr>
    <w:rPr>
      <w:rFonts w:cs="宋体"/>
      <w:sz w:val="24"/>
    </w:rPr>
  </w:style>
  <w:style w:type="paragraph" w:customStyle="1" w:styleId="56">
    <w:name w:val="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57">
    <w:name w:val="_Style 49"/>
    <w:qFormat/>
    <w:uiPriority w:val="0"/>
    <w:rPr>
      <w:rFonts w:ascii="Times New Roman" w:hAnsi="Times New Roman" w:eastAsia="宋体" w:cs="Times New Roman"/>
      <w:kern w:val="2"/>
      <w:sz w:val="21"/>
      <w:szCs w:val="24"/>
      <w:lang w:val="en-US" w:eastAsia="zh-CN" w:bidi="ar-SA"/>
    </w:rPr>
  </w:style>
  <w:style w:type="paragraph" w:customStyle="1" w:styleId="58">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9">
    <w:name w:val="Char Char Char Char Char Char"/>
    <w:basedOn w:val="1"/>
    <w:qFormat/>
    <w:uiPriority w:val="0"/>
    <w:rPr>
      <w:rFonts w:ascii="Tahoma" w:hAnsi="Tahoma"/>
      <w:sz w:val="24"/>
    </w:rPr>
  </w:style>
  <w:style w:type="paragraph" w:customStyle="1" w:styleId="60">
    <w:name w:val="正文缩进1"/>
    <w:basedOn w:val="1"/>
    <w:next w:val="1"/>
    <w:qFormat/>
    <w:uiPriority w:val="0"/>
    <w:pPr>
      <w:widowControl/>
      <w:ind w:firstLine="420"/>
    </w:pPr>
    <w:rPr>
      <w:color w:val="000000"/>
    </w:rPr>
  </w:style>
  <w:style w:type="paragraph" w:customStyle="1" w:styleId="61">
    <w:name w:val="table head"/>
    <w:basedOn w:val="1"/>
    <w:qFormat/>
    <w:uiPriority w:val="0"/>
    <w:pPr>
      <w:keepNext/>
      <w:keepLines/>
      <w:adjustRightInd w:val="0"/>
      <w:spacing w:line="312" w:lineRule="atLeast"/>
      <w:jc w:val="center"/>
      <w:textAlignment w:val="baseline"/>
    </w:pPr>
    <w:rPr>
      <w:b/>
    </w:rPr>
  </w:style>
  <w:style w:type="paragraph" w:customStyle="1" w:styleId="62">
    <w:name w:val="Char2 Char Char Char"/>
    <w:basedOn w:val="1"/>
    <w:qFormat/>
    <w:uiPriority w:val="0"/>
    <w:rPr>
      <w:rFonts w:ascii="仿宋_GB2312" w:eastAsia="仿宋_GB2312"/>
      <w:b/>
      <w:sz w:val="32"/>
      <w:szCs w:val="32"/>
    </w:rPr>
  </w:style>
  <w:style w:type="paragraph" w:customStyle="1" w:styleId="63">
    <w:name w:val="Char1"/>
    <w:basedOn w:val="1"/>
    <w:qFormat/>
    <w:uiPriority w:val="0"/>
    <w:rPr>
      <w:szCs w:val="21"/>
    </w:rPr>
  </w:style>
  <w:style w:type="paragraph" w:customStyle="1" w:styleId="64">
    <w:name w:val="样式1"/>
    <w:basedOn w:val="1"/>
    <w:qFormat/>
    <w:uiPriority w:val="0"/>
    <w:pPr>
      <w:adjustRightInd w:val="0"/>
      <w:spacing w:line="420" w:lineRule="auto"/>
      <w:jc w:val="center"/>
      <w:textAlignment w:val="baseline"/>
    </w:pPr>
    <w:rPr>
      <w:sz w:val="24"/>
    </w:rPr>
  </w:style>
  <w:style w:type="paragraph" w:customStyle="1" w:styleId="65">
    <w:name w:val="Char Char1 Char Char Char Char"/>
    <w:basedOn w:val="1"/>
    <w:qFormat/>
    <w:uiPriority w:val="0"/>
  </w:style>
  <w:style w:type="paragraph" w:customStyle="1" w:styleId="66">
    <w:name w:val="列出段落2"/>
    <w:basedOn w:val="1"/>
    <w:qFormat/>
    <w:uiPriority w:val="0"/>
    <w:pPr>
      <w:ind w:firstLine="420" w:firstLineChars="200"/>
    </w:pPr>
  </w:style>
  <w:style w:type="paragraph" w:customStyle="1" w:styleId="67">
    <w:name w:val="默认段落字体 Para Char Char Char Char Char Char Char Char Char1 Char Char Char Char"/>
    <w:basedOn w:val="1"/>
    <w:qFormat/>
    <w:uiPriority w:val="0"/>
    <w:rPr>
      <w:rFonts w:ascii="Tahoma" w:hAnsi="Tahoma"/>
      <w:sz w:val="24"/>
    </w:rPr>
  </w:style>
  <w:style w:type="paragraph" w:customStyle="1" w:styleId="68">
    <w:name w:val="正文首行缩进两字符"/>
    <w:basedOn w:val="1"/>
    <w:qFormat/>
    <w:uiPriority w:val="0"/>
    <w:pPr>
      <w:spacing w:line="360" w:lineRule="auto"/>
      <w:ind w:firstLine="200" w:firstLineChars="200"/>
    </w:pPr>
  </w:style>
  <w:style w:type="paragraph" w:customStyle="1" w:styleId="69">
    <w:name w:val="Char2"/>
    <w:basedOn w:val="1"/>
    <w:qFormat/>
    <w:uiPriority w:val="0"/>
  </w:style>
  <w:style w:type="paragraph" w:customStyle="1" w:styleId="70">
    <w:name w:val="正文文本 21"/>
    <w:basedOn w:val="1"/>
    <w:qFormat/>
    <w:uiPriority w:val="0"/>
    <w:pPr>
      <w:adjustRightInd w:val="0"/>
      <w:spacing w:line="300" w:lineRule="auto"/>
      <w:jc w:val="center"/>
      <w:textAlignment w:val="baseline"/>
    </w:pPr>
    <w:rPr>
      <w:rFonts w:hAnsi="宋体"/>
      <w:sz w:val="24"/>
    </w:rPr>
  </w:style>
  <w:style w:type="paragraph" w:customStyle="1" w:styleId="71">
    <w:name w:val="plaintext"/>
    <w:basedOn w:val="1"/>
    <w:qFormat/>
    <w:uiPriority w:val="0"/>
    <w:pPr>
      <w:widowControl/>
      <w:spacing w:before="100" w:beforeAutospacing="1" w:after="100" w:afterAutospacing="1"/>
      <w:jc w:val="left"/>
    </w:pPr>
    <w:rPr>
      <w:rFonts w:hAnsi="宋体"/>
      <w:sz w:val="24"/>
    </w:rPr>
  </w:style>
  <w:style w:type="paragraph" w:customStyle="1" w:styleId="72">
    <w:name w:val="Table Text"/>
    <w:basedOn w:val="1"/>
    <w:qFormat/>
    <w:uiPriority w:val="0"/>
    <w:pPr>
      <w:widowControl/>
      <w:spacing w:before="60" w:after="60"/>
      <w:jc w:val="left"/>
    </w:pPr>
  </w:style>
  <w:style w:type="paragraph" w:customStyle="1" w:styleId="7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4">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75">
    <w:name w:val="正文 New"/>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character" w:customStyle="1" w:styleId="76">
    <w:name w:val="font111"/>
    <w:qFormat/>
    <w:uiPriority w:val="0"/>
    <w:rPr>
      <w:rFonts w:hint="default" w:ascii="Eʩ" w:hAnsi="Eʩ" w:eastAsia="Eʩ" w:cs="Eʩ"/>
      <w:color w:val="000000"/>
      <w:sz w:val="21"/>
      <w:szCs w:val="21"/>
      <w:u w:val="single"/>
    </w:rPr>
  </w:style>
  <w:style w:type="character" w:customStyle="1" w:styleId="77">
    <w:name w:val="textnorm_chn1"/>
    <w:qFormat/>
    <w:uiPriority w:val="0"/>
    <w:rPr>
      <w:rFonts w:hint="default" w:ascii="Arial" w:hAnsi="Arial" w:cs="Arial"/>
      <w:color w:val="21254A"/>
      <w:sz w:val="22"/>
      <w:szCs w:val="22"/>
    </w:rPr>
  </w:style>
  <w:style w:type="character" w:customStyle="1" w:styleId="78">
    <w:name w:val="标题 2 字符"/>
    <w:link w:val="5"/>
    <w:qFormat/>
    <w:uiPriority w:val="0"/>
    <w:rPr>
      <w:rFonts w:ascii="Arial" w:hAnsi="Arial" w:eastAsia="仿宋"/>
      <w:b/>
      <w:bCs/>
      <w:kern w:val="2"/>
      <w:sz w:val="28"/>
      <w:szCs w:val="32"/>
    </w:rPr>
  </w:style>
  <w:style w:type="character" w:customStyle="1" w:styleId="79">
    <w:name w:val="批注文字 字符"/>
    <w:link w:val="15"/>
    <w:qFormat/>
    <w:uiPriority w:val="0"/>
    <w:rPr>
      <w:kern w:val="2"/>
      <w:sz w:val="21"/>
      <w:szCs w:val="24"/>
    </w:rPr>
  </w:style>
  <w:style w:type="character" w:customStyle="1" w:styleId="80">
    <w:name w:val="font91"/>
    <w:qFormat/>
    <w:uiPriority w:val="0"/>
    <w:rPr>
      <w:rFonts w:hint="eastAsia" w:ascii="宋体" w:hAnsi="宋体" w:eastAsia="宋体" w:cs="宋体"/>
      <w:color w:val="FF0000"/>
      <w:sz w:val="21"/>
      <w:szCs w:val="21"/>
      <w:u w:val="single"/>
    </w:rPr>
  </w:style>
  <w:style w:type="character" w:customStyle="1" w:styleId="81">
    <w:name w:val="批注主题 字符"/>
    <w:link w:val="32"/>
    <w:qFormat/>
    <w:uiPriority w:val="0"/>
    <w:rPr>
      <w:b/>
      <w:bCs/>
      <w:kern w:val="2"/>
      <w:sz w:val="21"/>
      <w:szCs w:val="24"/>
    </w:rPr>
  </w:style>
  <w:style w:type="character" w:customStyle="1" w:styleId="82">
    <w:name w:val="unnamed31"/>
    <w:qFormat/>
    <w:uiPriority w:val="0"/>
    <w:rPr>
      <w:sz w:val="22"/>
      <w:szCs w:val="22"/>
    </w:rPr>
  </w:style>
  <w:style w:type="character" w:customStyle="1" w:styleId="83">
    <w:name w:val="标题 3 Char Char Char"/>
    <w:qFormat/>
    <w:uiPriority w:val="0"/>
    <w:rPr>
      <w:rFonts w:eastAsia="宋体"/>
      <w:b/>
      <w:kern w:val="2"/>
      <w:sz w:val="32"/>
      <w:lang w:val="en-US" w:eastAsia="zh-CN" w:bidi="ar-SA"/>
    </w:rPr>
  </w:style>
  <w:style w:type="character" w:customStyle="1" w:styleId="84">
    <w:name w:val="Char Char Char"/>
    <w:qFormat/>
    <w:uiPriority w:val="0"/>
    <w:rPr>
      <w:rFonts w:eastAsia="宋体"/>
      <w:b/>
      <w:kern w:val="2"/>
      <w:sz w:val="32"/>
      <w:lang w:val="en-US" w:eastAsia="zh-CN" w:bidi="ar-SA"/>
    </w:rPr>
  </w:style>
  <w:style w:type="character" w:customStyle="1" w:styleId="85">
    <w:name w:val="标题 Char1"/>
    <w:qFormat/>
    <w:uiPriority w:val="0"/>
    <w:rPr>
      <w:rFonts w:ascii="Cambria" w:hAnsi="Cambria" w:cs="Times New Roman"/>
      <w:b/>
      <w:bCs/>
      <w:kern w:val="2"/>
      <w:sz w:val="32"/>
      <w:szCs w:val="32"/>
    </w:rPr>
  </w:style>
  <w:style w:type="character" w:customStyle="1" w:styleId="86">
    <w:name w:val="页眉 字符"/>
    <w:link w:val="25"/>
    <w:qFormat/>
    <w:uiPriority w:val="0"/>
    <w:rPr>
      <w:rFonts w:ascii="宋体"/>
      <w:sz w:val="18"/>
    </w:rPr>
  </w:style>
  <w:style w:type="character" w:customStyle="1" w:styleId="87">
    <w:name w:val="正文首行缩进两字符 Char Char"/>
    <w:qFormat/>
    <w:uiPriority w:val="0"/>
    <w:rPr>
      <w:rFonts w:eastAsia="宋体"/>
      <w:kern w:val="2"/>
      <w:sz w:val="21"/>
      <w:szCs w:val="24"/>
      <w:lang w:val="en-US" w:eastAsia="zh-CN" w:bidi="ar-SA"/>
    </w:rPr>
  </w:style>
  <w:style w:type="character" w:customStyle="1" w:styleId="88">
    <w:name w:val="font101"/>
    <w:qFormat/>
    <w:uiPriority w:val="0"/>
    <w:rPr>
      <w:rFonts w:hint="eastAsia" w:ascii="宋体" w:hAnsi="宋体" w:eastAsia="宋体" w:cs="宋体"/>
      <w:color w:val="000000"/>
      <w:sz w:val="21"/>
      <w:szCs w:val="21"/>
      <w:u w:val="single"/>
    </w:rPr>
  </w:style>
  <w:style w:type="character" w:customStyle="1" w:styleId="89">
    <w:name w:val="批注框文本 字符"/>
    <w:link w:val="23"/>
    <w:qFormat/>
    <w:uiPriority w:val="0"/>
    <w:rPr>
      <w:kern w:val="2"/>
      <w:sz w:val="18"/>
      <w:szCs w:val="18"/>
    </w:rPr>
  </w:style>
  <w:style w:type="character" w:customStyle="1" w:styleId="90">
    <w:name w:val="正文首行缩进 2 Char"/>
    <w:qFormat/>
    <w:uiPriority w:val="0"/>
    <w:rPr>
      <w:kern w:val="2"/>
      <w:sz w:val="32"/>
    </w:rPr>
  </w:style>
  <w:style w:type="character" w:customStyle="1" w:styleId="91">
    <w:name w:val="font31"/>
    <w:basedOn w:val="36"/>
    <w:qFormat/>
    <w:uiPriority w:val="0"/>
    <w:rPr>
      <w:rFonts w:hint="eastAsia" w:ascii="宋体" w:hAnsi="宋体" w:eastAsia="宋体" w:cs="宋体"/>
      <w:color w:val="000000"/>
      <w:sz w:val="21"/>
      <w:szCs w:val="21"/>
      <w:u w:val="none"/>
    </w:rPr>
  </w:style>
  <w:style w:type="character" w:customStyle="1" w:styleId="92">
    <w:name w:val="标题 字符"/>
    <w:link w:val="31"/>
    <w:qFormat/>
    <w:uiPriority w:val="99"/>
    <w:rPr>
      <w:rFonts w:ascii="Cambria" w:hAnsi="Cambria"/>
      <w:b/>
      <w:bCs/>
      <w:sz w:val="32"/>
      <w:szCs w:val="32"/>
    </w:rPr>
  </w:style>
  <w:style w:type="paragraph" w:customStyle="1" w:styleId="93">
    <w:name w:val="修订1"/>
    <w:hidden/>
    <w:semiHidden/>
    <w:qFormat/>
    <w:uiPriority w:val="99"/>
    <w:rPr>
      <w:rFonts w:ascii="宋体" w:hAnsi="Times New Roman" w:eastAsia="宋体" w:cs="Times New Roman"/>
      <w:sz w:val="34"/>
      <w:lang w:val="en-US" w:eastAsia="zh-CN" w:bidi="ar-SA"/>
    </w:rPr>
  </w:style>
  <w:style w:type="paragraph" w:customStyle="1" w:styleId="94">
    <w:name w:val="_Style 2"/>
    <w:basedOn w:val="1"/>
    <w:qFormat/>
    <w:uiPriority w:val="0"/>
    <w:pPr>
      <w:spacing w:after="160" w:line="259" w:lineRule="auto"/>
      <w:ind w:firstLine="420" w:firstLineChars="200"/>
    </w:pPr>
    <w:rPr>
      <w:rFonts w:ascii="Calibri" w:hAnsi="Calibri"/>
      <w:kern w:val="2"/>
      <w:sz w:val="18"/>
      <w:szCs w:val="18"/>
    </w:rPr>
  </w:style>
  <w:style w:type="paragraph" w:customStyle="1" w:styleId="95">
    <w:name w:val="修订2"/>
    <w:hidden/>
    <w:unhideWhenUsed/>
    <w:qFormat/>
    <w:uiPriority w:val="99"/>
    <w:rPr>
      <w:rFonts w:ascii="宋体" w:hAnsi="Times New Roman" w:eastAsia="宋体" w:cs="Times New Roman"/>
      <w:sz w:val="34"/>
      <w:lang w:val="en-US" w:eastAsia="zh-CN" w:bidi="ar-SA"/>
    </w:rPr>
  </w:style>
  <w:style w:type="paragraph" w:customStyle="1" w:styleId="96">
    <w:name w:val="修订3"/>
    <w:hidden/>
    <w:semiHidden/>
    <w:qFormat/>
    <w:uiPriority w:val="99"/>
    <w:rPr>
      <w:rFonts w:ascii="宋体" w:hAnsi="Times New Roman" w:eastAsia="宋体" w:cs="Times New Roman"/>
      <w:sz w:val="34"/>
      <w:lang w:val="en-US" w:eastAsia="zh-CN" w:bidi="ar-SA"/>
    </w:rPr>
  </w:style>
  <w:style w:type="paragraph" w:customStyle="1" w:styleId="97">
    <w:name w:val="列表段落1"/>
    <w:basedOn w:val="1"/>
    <w:qFormat/>
    <w:uiPriority w:val="34"/>
    <w:pPr>
      <w:ind w:firstLine="420" w:firstLineChars="200"/>
    </w:pPr>
  </w:style>
  <w:style w:type="paragraph" w:customStyle="1" w:styleId="98">
    <w:name w:val="修订4"/>
    <w:hidden/>
    <w:semiHidden/>
    <w:qFormat/>
    <w:uiPriority w:val="99"/>
    <w:rPr>
      <w:rFonts w:ascii="宋体" w:hAnsi="Times New Roman" w:eastAsia="宋体" w:cs="Times New Roman"/>
      <w:sz w:val="34"/>
      <w:lang w:val="en-US" w:eastAsia="zh-CN" w:bidi="ar-SA"/>
    </w:rPr>
  </w:style>
  <w:style w:type="paragraph" w:customStyle="1" w:styleId="99">
    <w:name w:val="修订5"/>
    <w:hidden/>
    <w:semiHidden/>
    <w:qFormat/>
    <w:uiPriority w:val="99"/>
    <w:rPr>
      <w:rFonts w:ascii="宋体" w:hAnsi="Times New Roman" w:eastAsia="宋体" w:cs="Times New Roman"/>
      <w:sz w:val="34"/>
      <w:lang w:val="en-US" w:eastAsia="zh-CN" w:bidi="ar-SA"/>
    </w:rPr>
  </w:style>
  <w:style w:type="table" w:customStyle="1" w:styleId="100">
    <w:name w:val="网格型1"/>
    <w:basedOn w:val="34"/>
    <w:qFormat/>
    <w:uiPriority w:val="59"/>
    <w:pPr>
      <w:jc w:val="both"/>
    </w:pPr>
    <w:rPr>
      <w:rFonts w:ascii="等线" w:hAnsi="等线"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1">
    <w:name w:val="修订6"/>
    <w:hidden/>
    <w:unhideWhenUsed/>
    <w:qFormat/>
    <w:uiPriority w:val="99"/>
    <w:rPr>
      <w:rFonts w:ascii="宋体" w:hAnsi="Times New Roman" w:eastAsia="宋体" w:cs="Times New Roman"/>
      <w:sz w:val="34"/>
      <w:lang w:val="en-US" w:eastAsia="zh-CN" w:bidi="ar-SA"/>
    </w:rPr>
  </w:style>
  <w:style w:type="paragraph" w:customStyle="1" w:styleId="102">
    <w:name w:val="修订7"/>
    <w:hidden/>
    <w:semiHidden/>
    <w:qFormat/>
    <w:uiPriority w:val="99"/>
    <w:rPr>
      <w:rFonts w:ascii="宋体" w:hAnsi="Times New Roman" w:eastAsia="宋体" w:cs="Times New Roman"/>
      <w:sz w:val="34"/>
      <w:lang w:val="en-US" w:eastAsia="zh-CN" w:bidi="ar-SA"/>
    </w:rPr>
  </w:style>
  <w:style w:type="paragraph" w:customStyle="1" w:styleId="103">
    <w:name w:val="修订8"/>
    <w:hidden/>
    <w:semiHidden/>
    <w:qFormat/>
    <w:uiPriority w:val="99"/>
    <w:rPr>
      <w:rFonts w:ascii="宋体" w:hAnsi="Times New Roman" w:eastAsia="宋体" w:cs="Times New Roman"/>
      <w:sz w:val="34"/>
      <w:lang w:val="en-US" w:eastAsia="zh-CN" w:bidi="ar-SA"/>
    </w:rPr>
  </w:style>
  <w:style w:type="paragraph" w:styleId="104">
    <w:name w:val="List Paragraph"/>
    <w:basedOn w:val="1"/>
    <w:qFormat/>
    <w:uiPriority w:val="34"/>
    <w:pPr>
      <w:ind w:firstLine="420" w:firstLineChars="200"/>
    </w:pPr>
  </w:style>
  <w:style w:type="paragraph" w:customStyle="1" w:styleId="105">
    <w:name w:val="修订9"/>
    <w:hidden/>
    <w:semiHidden/>
    <w:qFormat/>
    <w:uiPriority w:val="99"/>
    <w:rPr>
      <w:rFonts w:ascii="宋体" w:hAnsi="Times New Roman" w:eastAsia="宋体" w:cs="Times New Roman"/>
      <w:sz w:val="34"/>
      <w:lang w:val="en-US" w:eastAsia="zh-CN" w:bidi="ar-SA"/>
    </w:rPr>
  </w:style>
  <w:style w:type="paragraph" w:customStyle="1" w:styleId="106">
    <w:name w:val="Table Paragraph"/>
    <w:basedOn w:val="1"/>
    <w:qFormat/>
    <w:uiPriority w:val="1"/>
  </w:style>
  <w:style w:type="paragraph" w:customStyle="1" w:styleId="107">
    <w:name w:val="样式  + 首行缩进:  2 字符"/>
    <w:basedOn w:val="1"/>
    <w:autoRedefine/>
    <w:qFormat/>
    <w:uiPriority w:val="0"/>
    <w:pPr>
      <w:adjustRightInd w:val="0"/>
      <w:snapToGrid w:val="0"/>
      <w:ind w:firstLine="524"/>
    </w:pPr>
    <w:rPr>
      <w:rFonts w:ascii="宋体" w:hAnsi="宋体"/>
      <w:spacing w:val="11"/>
      <w:kern w:val="0"/>
      <w:sz w:val="24"/>
    </w:rPr>
  </w:style>
  <w:style w:type="character" w:customStyle="1" w:styleId="108">
    <w:name w:val="font01"/>
    <w:basedOn w:val="36"/>
    <w:autoRedefine/>
    <w:qFormat/>
    <w:uiPriority w:val="0"/>
    <w:rPr>
      <w:rFonts w:hint="eastAsia" w:ascii="宋体" w:hAnsi="宋体" w:eastAsia="宋体" w:cs="宋体"/>
      <w:color w:val="000000"/>
      <w:sz w:val="22"/>
      <w:szCs w:val="22"/>
      <w:u w:val="none"/>
    </w:rPr>
  </w:style>
  <w:style w:type="character" w:customStyle="1" w:styleId="109">
    <w:name w:val="font21"/>
    <w:basedOn w:val="3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7A8A7B2-13BD-4AF0-B64A-612CAEFBD604}">
  <ds:schemaRefs/>
</ds:datastoreItem>
</file>

<file path=customXml/itemProps11.xml><?xml version="1.0" encoding="utf-8"?>
<ds:datastoreItem xmlns:ds="http://schemas.openxmlformats.org/officeDocument/2006/customXml" ds:itemID="{68363156-6046-468B-B824-2C9CC86D264D}">
  <ds:schemaRefs/>
</ds:datastoreItem>
</file>

<file path=customXml/itemProps12.xml><?xml version="1.0" encoding="utf-8"?>
<ds:datastoreItem xmlns:ds="http://schemas.openxmlformats.org/officeDocument/2006/customXml" ds:itemID="{93FD2C8B-FD3B-42F1-BD67-C69EE5D3FA76}">
  <ds:schemaRefs/>
</ds:datastoreItem>
</file>

<file path=customXml/itemProps13.xml><?xml version="1.0" encoding="utf-8"?>
<ds:datastoreItem xmlns:ds="http://schemas.openxmlformats.org/officeDocument/2006/customXml" ds:itemID="{A055F2BD-3FD5-4DCD-9024-8EF7E92CDAA6}">
  <ds:schemaRefs/>
</ds:datastoreItem>
</file>

<file path=customXml/itemProps14.xml><?xml version="1.0" encoding="utf-8"?>
<ds:datastoreItem xmlns:ds="http://schemas.openxmlformats.org/officeDocument/2006/customXml" ds:itemID="{92CAE13A-29A3-4AD6-AE2D-374D24B1BE70}">
  <ds:schemaRefs/>
</ds:datastoreItem>
</file>

<file path=customXml/itemProps15.xml><?xml version="1.0" encoding="utf-8"?>
<ds:datastoreItem xmlns:ds="http://schemas.openxmlformats.org/officeDocument/2006/customXml" ds:itemID="{8D5590C3-6F66-42D2-8250-812896BDFEA8}">
  <ds:schemaRefs/>
</ds:datastoreItem>
</file>

<file path=customXml/itemProps16.xml><?xml version="1.0" encoding="utf-8"?>
<ds:datastoreItem xmlns:ds="http://schemas.openxmlformats.org/officeDocument/2006/customXml" ds:itemID="{C3EEC2D5-FFF3-449A-A9E7-ECDF793401B6}">
  <ds:schemaRefs/>
</ds:datastoreItem>
</file>

<file path=customXml/itemProps17.xml><?xml version="1.0" encoding="utf-8"?>
<ds:datastoreItem xmlns:ds="http://schemas.openxmlformats.org/officeDocument/2006/customXml" ds:itemID="{44B5A08B-9D2D-4750-845F-EE992B971513}">
  <ds:schemaRefs/>
</ds:datastoreItem>
</file>

<file path=customXml/itemProps18.xml><?xml version="1.0" encoding="utf-8"?>
<ds:datastoreItem xmlns:ds="http://schemas.openxmlformats.org/officeDocument/2006/customXml" ds:itemID="{A288BCCA-BF83-42C0-AE80-B45A651A1A11}">
  <ds:schemaRefs/>
</ds:datastoreItem>
</file>

<file path=customXml/itemProps19.xml><?xml version="1.0" encoding="utf-8"?>
<ds:datastoreItem xmlns:ds="http://schemas.openxmlformats.org/officeDocument/2006/customXml" ds:itemID="{9B4BDBC1-E8D3-4777-B24D-956942B7DA89}">
  <ds:schemaRefs/>
</ds:datastoreItem>
</file>

<file path=customXml/itemProps2.xml><?xml version="1.0" encoding="utf-8"?>
<ds:datastoreItem xmlns:ds="http://schemas.openxmlformats.org/officeDocument/2006/customXml" ds:itemID="{EFF30AE1-F4C9-4C6E-8DFC-8FA31D3D7B31}">
  <ds:schemaRefs/>
</ds:datastoreItem>
</file>

<file path=customXml/itemProps20.xml><?xml version="1.0" encoding="utf-8"?>
<ds:datastoreItem xmlns:ds="http://schemas.openxmlformats.org/officeDocument/2006/customXml" ds:itemID="{2C38ACD5-7A30-4488-AD26-5086DB885015}">
  <ds:schemaRefs/>
</ds:datastoreItem>
</file>

<file path=customXml/itemProps21.xml><?xml version="1.0" encoding="utf-8"?>
<ds:datastoreItem xmlns:ds="http://schemas.openxmlformats.org/officeDocument/2006/customXml" ds:itemID="{E302C165-3EB7-4D0D-B694-2DB8E90BD0A0}">
  <ds:schemaRefs/>
</ds:datastoreItem>
</file>

<file path=customXml/itemProps22.xml><?xml version="1.0" encoding="utf-8"?>
<ds:datastoreItem xmlns:ds="http://schemas.openxmlformats.org/officeDocument/2006/customXml" ds:itemID="{E45C7860-878A-4976-B539-D8EDE991A70E}">
  <ds:schemaRefs/>
</ds:datastoreItem>
</file>

<file path=customXml/itemProps23.xml><?xml version="1.0" encoding="utf-8"?>
<ds:datastoreItem xmlns:ds="http://schemas.openxmlformats.org/officeDocument/2006/customXml" ds:itemID="{BD08E2CF-B5EF-405A-BB11-83C629EE2155}">
  <ds:schemaRefs/>
</ds:datastoreItem>
</file>

<file path=customXml/itemProps3.xml><?xml version="1.0" encoding="utf-8"?>
<ds:datastoreItem xmlns:ds="http://schemas.openxmlformats.org/officeDocument/2006/customXml" ds:itemID="{763999E0-E56C-433E-B629-A84F54EA9D13}">
  <ds:schemaRefs/>
</ds:datastoreItem>
</file>

<file path=customXml/itemProps4.xml><?xml version="1.0" encoding="utf-8"?>
<ds:datastoreItem xmlns:ds="http://schemas.openxmlformats.org/officeDocument/2006/customXml" ds:itemID="{27E111F4-9401-445D-BFE2-58B82EFBB2EB}">
  <ds:schemaRefs/>
</ds:datastoreItem>
</file>

<file path=customXml/itemProps5.xml><?xml version="1.0" encoding="utf-8"?>
<ds:datastoreItem xmlns:ds="http://schemas.openxmlformats.org/officeDocument/2006/customXml" ds:itemID="{7B75E18B-8395-4FDD-854C-543D7184B859}">
  <ds:schemaRefs/>
</ds:datastoreItem>
</file>

<file path=customXml/itemProps6.xml><?xml version="1.0" encoding="utf-8"?>
<ds:datastoreItem xmlns:ds="http://schemas.openxmlformats.org/officeDocument/2006/customXml" ds:itemID="{3203429F-4623-4423-BE6A-DAF9D85CC0B8}">
  <ds:schemaRefs/>
</ds:datastoreItem>
</file>

<file path=customXml/itemProps7.xml><?xml version="1.0" encoding="utf-8"?>
<ds:datastoreItem xmlns:ds="http://schemas.openxmlformats.org/officeDocument/2006/customXml" ds:itemID="{EEB3380A-55B8-4E98-9DD6-8F3F92EEAA56}">
  <ds:schemaRefs/>
</ds:datastoreItem>
</file>

<file path=customXml/itemProps8.xml><?xml version="1.0" encoding="utf-8"?>
<ds:datastoreItem xmlns:ds="http://schemas.openxmlformats.org/officeDocument/2006/customXml" ds:itemID="{707A53F1-DBAD-478D-8442-3B88BE8ABD10}">
  <ds:schemaRefs/>
</ds:datastoreItem>
</file>

<file path=customXml/itemProps9.xml><?xml version="1.0" encoding="utf-8"?>
<ds:datastoreItem xmlns:ds="http://schemas.openxmlformats.org/officeDocument/2006/customXml" ds:itemID="{5D3BB5D1-A468-423E-B161-11746ACD280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51</Pages>
  <Words>7075</Words>
  <Characters>7467</Characters>
  <Lines>133</Lines>
  <Paragraphs>37</Paragraphs>
  <TotalTime>8</TotalTime>
  <ScaleCrop>false</ScaleCrop>
  <LinksUpToDate>false</LinksUpToDate>
  <CharactersWithSpaces>7503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2021-05-25T08:00:00Z</dcterms:created>
  <dc:creator>USER</dc:creator>
  <cp:lastModifiedBy>YINGWANG</cp:lastModifiedBy>
  <cp:lastPrinted>2023-10-14T07:18:00Z</cp:lastPrinted>
  <dcterms:modified xsi:type="dcterms:W3CDTF">2025-04-21T07:07:34Z</dcterms:modified>
  <dc:title>省财政厅关于印发四川省政府采购通用货物和服务招标文件范本的通知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B5D98DE6E750432F987F7C3F19A94440_13</vt:lpwstr>
  </property>
  <property fmtid="{D5CDD505-2E9C-101B-9397-08002B2CF9AE}" pid="4" name="KSOTemplateDocerSaveRecord">
    <vt:lpwstr>eyJoZGlkIjoiOGFiOTFlNTU2NTY3YjI4YWNlNGU3NmNmNWQwNTNlMjIiLCJ1c2VySWQiOiIzODEzODg5MTEifQ==</vt:lpwstr>
  </property>
</Properties>
</file>