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718C">
      <w:pPr>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30"/>
          <w:szCs w:val="30"/>
          <w:highlight w:val="none"/>
          <w14:textFill>
            <w14:solidFill>
              <w14:schemeClr w14:val="tx1"/>
            </w14:solidFill>
          </w14:textFill>
        </w:rPr>
      </w:pPr>
    </w:p>
    <w:p w14:paraId="36CC86B8">
      <w:pPr>
        <w:pStyle w:val="30"/>
        <w:pageBreakBefore w:val="0"/>
        <w:kinsoku/>
        <w:wordWrap w:val="0"/>
        <w:overflowPunct/>
        <w:topLinePunct w:val="0"/>
        <w:bidi w:val="0"/>
        <w:spacing w:line="360" w:lineRule="auto"/>
        <w:jc w:val="center"/>
        <w:rPr>
          <w:rFonts w:hint="default"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国家成都农业科技中心园区</w:t>
      </w:r>
      <w:r>
        <w:rPr>
          <w:rFonts w:hint="eastAsia" w:ascii="仿宋" w:hAnsi="仿宋" w:eastAsia="仿宋" w:cs="仿宋"/>
          <w:b/>
          <w:color w:val="000000" w:themeColor="text1"/>
          <w:sz w:val="44"/>
          <w:szCs w:val="44"/>
          <w:highlight w:val="none"/>
          <w:lang w:val="en-US" w:eastAsia="zh-CN"/>
          <w14:textFill>
            <w14:solidFill>
              <w14:schemeClr w14:val="tx1"/>
            </w14:solidFill>
          </w14:textFill>
        </w:rPr>
        <w:t>电梯维护保养服务项目</w:t>
      </w:r>
    </w:p>
    <w:p w14:paraId="39998DC9">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82A530">
      <w:pPr>
        <w:pageBreakBefore w:val="0"/>
        <w:kinsoku/>
        <w:wordWrap w:val="0"/>
        <w:overflowPunct/>
        <w:topLinePunct w:val="0"/>
        <w:bidi w:val="0"/>
        <w:spacing w:line="360" w:lineRule="auto"/>
        <w:jc w:val="center"/>
        <w:rPr>
          <w:rFonts w:ascii="仿宋" w:hAnsi="仿宋" w:eastAsia="仿宋" w:cs="仿宋"/>
          <w:b/>
          <w:color w:val="000000" w:themeColor="text1"/>
          <w:kern w:val="1"/>
          <w:sz w:val="84"/>
          <w:szCs w:val="84"/>
          <w:highlight w:val="none"/>
          <w14:textFill>
            <w14:solidFill>
              <w14:schemeClr w14:val="tx1"/>
            </w14:solidFill>
          </w14:textFill>
        </w:rPr>
      </w:pPr>
      <w:r>
        <w:rPr>
          <w:rFonts w:hint="eastAsia" w:ascii="仿宋" w:hAnsi="仿宋" w:eastAsia="仿宋" w:cs="仿宋"/>
          <w:b/>
          <w:color w:val="000000" w:themeColor="text1"/>
          <w:kern w:val="1"/>
          <w:sz w:val="84"/>
          <w:szCs w:val="8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84"/>
          <w:szCs w:val="84"/>
          <w:highlight w:val="none"/>
          <w14:textFill>
            <w14:solidFill>
              <w14:schemeClr w14:val="tx1"/>
            </w14:solidFill>
          </w14:textFill>
        </w:rPr>
        <w:t>文件</w:t>
      </w:r>
    </w:p>
    <w:p w14:paraId="428EB3B2">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FD67DE">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pPr>
      <w:r>
        <w:rPr>
          <w:rFonts w:hint="eastAsia" w:ascii="仿宋" w:hAnsi="仿宋" w:eastAsia="仿宋" w:cs="仿宋"/>
          <w:b/>
          <w:color w:val="000000" w:themeColor="text1"/>
          <w:kern w:val="1"/>
          <w:sz w:val="32"/>
          <w:szCs w:val="32"/>
          <w:highlight w:val="none"/>
          <w14:textFill>
            <w14:solidFill>
              <w14:schemeClr w14:val="tx1"/>
            </w14:solidFill>
          </w14:textFill>
        </w:rPr>
        <w:t>中国·四川</w:t>
      </w:r>
    </w:p>
    <w:p w14:paraId="54BBF023">
      <w:pPr>
        <w:pageBreakBefore w:val="0"/>
        <w:kinsoku/>
        <w:wordWrap w:val="0"/>
        <w:overflowPunct/>
        <w:topLinePunct w:val="0"/>
        <w:bidi w:val="0"/>
        <w:spacing w:line="360" w:lineRule="auto"/>
        <w:jc w:val="center"/>
        <w:rPr>
          <w:rFonts w:ascii="仿宋" w:hAnsi="仿宋" w:eastAsia="仿宋" w:cs="仿宋"/>
          <w:b/>
          <w:bCs w:val="0"/>
          <w:color w:val="000000" w:themeColor="text1"/>
          <w:kern w:val="1"/>
          <w:sz w:val="32"/>
          <w:szCs w:val="32"/>
          <w:highlight w:val="none"/>
          <w14:textFill>
            <w14:solidFill>
              <w14:schemeClr w14:val="tx1"/>
            </w14:solidFill>
          </w14:textFill>
        </w:rPr>
      </w:pPr>
      <w:r>
        <w:rPr>
          <w:rFonts w:hint="eastAsia" w:ascii="仿宋" w:hAnsi="仿宋" w:eastAsia="仿宋" w:cs="仿宋"/>
          <w:b/>
          <w:bCs w:val="0"/>
          <w:color w:val="000000" w:themeColor="text1"/>
          <w:kern w:val="1"/>
          <w:sz w:val="32"/>
          <w:szCs w:val="32"/>
          <w:highlight w:val="none"/>
          <w:lang w:eastAsia="zh-CN"/>
          <w14:textFill>
            <w14:solidFill>
              <w14:schemeClr w14:val="tx1"/>
            </w14:solidFill>
          </w14:textFill>
        </w:rPr>
        <w:t>成都农业科技中心</w:t>
      </w:r>
      <w:r>
        <w:rPr>
          <w:rFonts w:hint="eastAsia" w:ascii="仿宋" w:hAnsi="仿宋" w:eastAsia="仿宋" w:cs="仿宋"/>
          <w:b/>
          <w:bCs w:val="0"/>
          <w:color w:val="000000" w:themeColor="text1"/>
          <w:kern w:val="1"/>
          <w:sz w:val="32"/>
          <w:szCs w:val="32"/>
          <w:highlight w:val="none"/>
          <w:lang w:val="en-US" w:eastAsia="zh-CN"/>
          <w14:textFill>
            <w14:solidFill>
              <w14:schemeClr w14:val="tx1"/>
            </w14:solidFill>
          </w14:textFill>
        </w:rPr>
        <w:t>·</w:t>
      </w:r>
      <w:r>
        <w:rPr>
          <w:rFonts w:hint="eastAsia" w:ascii="仿宋" w:hAnsi="仿宋" w:eastAsia="仿宋" w:cs="仿宋"/>
          <w:b/>
          <w:bCs w:val="0"/>
          <w:color w:val="000000" w:themeColor="text1"/>
          <w:kern w:val="1"/>
          <w:sz w:val="32"/>
          <w:szCs w:val="32"/>
          <w:highlight w:val="none"/>
          <w14:textFill>
            <w14:solidFill>
              <w14:schemeClr w14:val="tx1"/>
            </w14:solidFill>
          </w14:textFill>
        </w:rPr>
        <w:t>编制</w:t>
      </w:r>
    </w:p>
    <w:p w14:paraId="0A7D0B40">
      <w:pPr>
        <w:pStyle w:val="2"/>
        <w:pageBreakBefore w:val="0"/>
        <w:kinsoku/>
        <w:wordWrap w:val="0"/>
        <w:overflowPunct/>
        <w:topLinePunct w:val="0"/>
        <w:bidi w:val="0"/>
        <w:spacing w:before="0" w:after="0" w:line="360" w:lineRule="auto"/>
        <w:rPr>
          <w:rFonts w:hint="eastAsia" w:ascii="仿宋" w:hAnsi="仿宋" w:eastAsia="仿宋" w:cs="仿宋"/>
          <w:b/>
          <w:color w:val="000000" w:themeColor="text1"/>
          <w:kern w:val="1"/>
          <w:sz w:val="32"/>
          <w:szCs w:val="32"/>
          <w:highlight w:val="none"/>
          <w14:textFill>
            <w14:solidFill>
              <w14:schemeClr w14:val="tx1"/>
            </w14:solidFill>
          </w14:textFill>
        </w:rPr>
        <w:sectPr>
          <w:headerReference r:id="rId4" w:type="first"/>
          <w:headerReference r:id="rId3" w:type="default"/>
          <w:footerReference r:id="rId5" w:type="default"/>
          <w:pgSz w:w="11906" w:h="16838"/>
          <w:pgMar w:top="1440" w:right="1701" w:bottom="1440" w:left="1701" w:header="851" w:footer="992" w:gutter="0"/>
          <w:pgNumType w:start="1" w:chapStyle="1"/>
          <w:cols w:space="720" w:num="1"/>
          <w:titlePg/>
        </w:sectPr>
      </w:pPr>
      <w:r>
        <w:rPr>
          <w:rFonts w:hint="eastAsia" w:ascii="仿宋" w:hAnsi="仿宋" w:eastAsia="仿宋" w:cs="仿宋"/>
          <w:b/>
          <w:color w:val="000000" w:themeColor="text1"/>
          <w:kern w:val="1"/>
          <w:sz w:val="32"/>
          <w:szCs w:val="32"/>
          <w:highlight w:val="none"/>
          <w14:textFill>
            <w14:solidFill>
              <w14:schemeClr w14:val="tx1"/>
            </w14:solidFill>
          </w14:textFill>
        </w:rPr>
        <w:t>2025年</w:t>
      </w:r>
      <w:r>
        <w:rPr>
          <w:rFonts w:hint="eastAsia" w:ascii="仿宋" w:hAnsi="仿宋" w:eastAsia="仿宋" w:cs="仿宋"/>
          <w:b/>
          <w:color w:val="000000" w:themeColor="text1"/>
          <w:kern w:val="1"/>
          <w:sz w:val="32"/>
          <w:szCs w:val="32"/>
          <w:highlight w:val="none"/>
          <w:lang w:val="en-US" w:eastAsia="zh-CN"/>
          <w14:textFill>
            <w14:solidFill>
              <w14:schemeClr w14:val="tx1"/>
            </w14:solidFill>
          </w14:textFill>
        </w:rPr>
        <w:t>06</w:t>
      </w:r>
      <w:r>
        <w:rPr>
          <w:rFonts w:hint="eastAsia" w:ascii="仿宋" w:hAnsi="仿宋" w:eastAsia="仿宋" w:cs="仿宋"/>
          <w:b/>
          <w:color w:val="000000" w:themeColor="text1"/>
          <w:kern w:val="1"/>
          <w:sz w:val="32"/>
          <w:szCs w:val="32"/>
          <w:highlight w:val="none"/>
          <w14:textFill>
            <w14:solidFill>
              <w14:schemeClr w14:val="tx1"/>
            </w14:solidFill>
          </w14:textFill>
        </w:rPr>
        <w:t>月</w:t>
      </w:r>
      <w:bookmarkStart w:id="0" w:name="_Toc180954102"/>
      <w:bookmarkStart w:id="1" w:name="_Toc180954072"/>
      <w:bookmarkStart w:id="2" w:name="_Toc21357"/>
    </w:p>
    <w:sdt>
      <w:sdtPr>
        <w:rPr>
          <w:rFonts w:ascii="Times New Roman" w:hAnsi="Times New Roman" w:cs="Calibri"/>
          <w:b w:val="0"/>
          <w:bCs w:val="0"/>
          <w:color w:val="000000" w:themeColor="text1"/>
          <w:sz w:val="21"/>
          <w:szCs w:val="22"/>
          <w:highlight w:val="none"/>
          <w:lang w:val="zh-CN"/>
          <w14:textFill>
            <w14:solidFill>
              <w14:schemeClr w14:val="tx1"/>
            </w14:solidFill>
          </w14:textFill>
        </w:rPr>
        <w:id w:val="147476191"/>
        <w:docPartObj>
          <w:docPartGallery w:val="Table of Contents"/>
          <w:docPartUnique/>
        </w:docPartObj>
      </w:sdtPr>
      <w:sdtEndPr>
        <w:rPr>
          <w:rFonts w:ascii="Times New Roman" w:hAnsi="Times New Roman" w:cs="Calibri"/>
          <w:b w:val="0"/>
          <w:bCs w:val="0"/>
          <w:color w:val="000000" w:themeColor="text1"/>
          <w:sz w:val="21"/>
          <w:szCs w:val="22"/>
          <w:highlight w:val="yellow"/>
          <w:lang w:val="zh-CN"/>
          <w14:textFill>
            <w14:solidFill>
              <w14:schemeClr w14:val="tx1"/>
            </w14:solidFill>
          </w14:textFill>
        </w:rPr>
      </w:sdtEndPr>
      <w:sdtContent>
        <w:p w14:paraId="7C0C9321">
          <w:pPr>
            <w:pStyle w:val="377"/>
            <w:pageBreakBefore w:val="0"/>
            <w:kinsoku/>
            <w:wordWrap w:val="0"/>
            <w:overflowPunct/>
            <w:topLinePunct w:val="0"/>
            <w:bidi w:val="0"/>
            <w:spacing w:before="0" w:line="240" w:lineRule="auto"/>
            <w:jc w:val="center"/>
            <w:rPr>
              <w:rFonts w:ascii="仿宋" w:hAnsi="仿宋" w:eastAsia="仿宋"/>
              <w:color w:val="000000" w:themeColor="text1"/>
              <w:sz w:val="40"/>
              <w:szCs w:val="40"/>
              <w:highlight w:val="none"/>
              <w14:textFill>
                <w14:solidFill>
                  <w14:schemeClr w14:val="tx1"/>
                </w14:solidFill>
              </w14:textFill>
            </w:rPr>
          </w:pPr>
          <w:r>
            <w:rPr>
              <w:rFonts w:ascii="仿宋" w:hAnsi="仿宋" w:eastAsia="仿宋"/>
              <w:color w:val="000000" w:themeColor="text1"/>
              <w:sz w:val="40"/>
              <w:szCs w:val="40"/>
              <w:highlight w:val="none"/>
              <w:lang w:val="zh-CN"/>
              <w14:textFill>
                <w14:solidFill>
                  <w14:schemeClr w14:val="tx1"/>
                </w14:solidFill>
              </w14:textFill>
            </w:rPr>
            <w:t>目</w:t>
          </w:r>
          <w:r>
            <w:rPr>
              <w:rFonts w:hint="eastAsia" w:ascii="仿宋" w:hAnsi="仿宋" w:eastAsia="仿宋"/>
              <w:color w:val="000000" w:themeColor="text1"/>
              <w:sz w:val="40"/>
              <w:szCs w:val="40"/>
              <w:highlight w:val="none"/>
              <w:lang w:val="zh-CN"/>
              <w14:textFill>
                <w14:solidFill>
                  <w14:schemeClr w14:val="tx1"/>
                </w14:solidFill>
              </w14:textFill>
            </w:rPr>
            <w:t xml:space="preserve">  </w:t>
          </w:r>
          <w:r>
            <w:rPr>
              <w:rFonts w:ascii="仿宋" w:hAnsi="仿宋" w:eastAsia="仿宋"/>
              <w:color w:val="000000" w:themeColor="text1"/>
              <w:sz w:val="40"/>
              <w:szCs w:val="40"/>
              <w:highlight w:val="none"/>
              <w:lang w:val="zh-CN"/>
              <w14:textFill>
                <w14:solidFill>
                  <w14:schemeClr w14:val="tx1"/>
                </w14:solidFill>
              </w14:textFill>
            </w:rPr>
            <w:t>录</w:t>
          </w:r>
        </w:p>
        <w:p w14:paraId="03539008">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fldChar w:fldCharType="begin"/>
          </w:r>
          <w:r>
            <w:rPr>
              <w:rFonts w:hint="eastAsia" w:ascii="仿宋" w:hAnsi="仿宋" w:eastAsia="仿宋" w:cs="仿宋"/>
              <w:color w:val="000000" w:themeColor="text1"/>
              <w:sz w:val="24"/>
              <w:szCs w:val="24"/>
              <w:highlight w:val="yellow"/>
              <w14:textFill>
                <w14:solidFill>
                  <w14:schemeClr w14:val="tx1"/>
                </w14:solidFill>
              </w14:textFill>
            </w:rPr>
            <w:instrText xml:space="preserve"> TOC \o "1-3" \h \z \u </w:instrText>
          </w:r>
          <w:r>
            <w:rPr>
              <w:rFonts w:hint="eastAsia" w:ascii="仿宋" w:hAnsi="仿宋" w:eastAsia="仿宋" w:cs="仿宋"/>
              <w:color w:val="000000" w:themeColor="text1"/>
              <w:sz w:val="24"/>
              <w:szCs w:val="24"/>
              <w:highlight w:val="yellow"/>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"_Toc21357"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第一章 </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en-US" w:eastAsia="zh-CN"/>
              <w14:textFill>
                <w14:solidFill>
                  <w14:schemeClr w14:val="tx1"/>
                </w14:solidFill>
              </w14:textFill>
            </w:rPr>
            <w:t>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_Toc21357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E948056">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"_Toc21375"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第二章 供应商须知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564A50E">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"_Toc27001"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第三章 项目技术、服务、采购合同内容条款及其他商务要求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_Toc27001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1576922">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"_Toc7689"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第四章 供应商和供应商产品的资格、资质性及其他类似效力要求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_Toc7689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7A6E4C4">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"_Toc19685"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第五章 供应商应当提供的资格、资质性及其他类似效力要求的相关证明材料</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_Toc19685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6B9F6F2">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"_Toc28735"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第六章 评审方法、程序和标准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_Toc28735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CC77387">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第七章 部分响应文件格式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_Toc148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51A2496">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"_Toc3308"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第八章 采购合同须知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_Toc3308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41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C305A19">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yellow"/>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"_Toc30414"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第九章 采购合同（仅供参考）</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_Toc30414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1CBAC88">
          <w:pPr>
            <w:pStyle w:val="2"/>
            <w:pageBreakBefore w:val="0"/>
            <w:kinsoku/>
            <w:wordWrap w:val="0"/>
            <w:overflowPunct/>
            <w:topLinePunct w:val="0"/>
            <w:bidi w:val="0"/>
            <w:spacing w:before="0" w:after="0" w:line="360" w:lineRule="auto"/>
            <w:rPr>
              <w:rFonts w:ascii="Times New Roman" w:hAnsi="Times New Roman" w:cs="Calibri"/>
              <w:b w:val="0"/>
              <w:bCs w:val="0"/>
              <w:color w:val="000000" w:themeColor="text1"/>
              <w:sz w:val="21"/>
              <w:szCs w:val="22"/>
              <w:highlight w:val="yellow"/>
              <w:lang w:val="zh-CN"/>
              <w14:textFill>
                <w14:solidFill>
                  <w14:schemeClr w14:val="tx1"/>
                </w14:solidFill>
              </w14:textFill>
            </w:rPr>
          </w:pPr>
          <w:r>
            <w:rPr>
              <w:rFonts w:hint="eastAsia" w:ascii="仿宋" w:hAnsi="仿宋" w:eastAsia="仿宋" w:cs="仿宋"/>
              <w:bCs/>
              <w:color w:val="000000" w:themeColor="text1"/>
              <w:sz w:val="24"/>
              <w:szCs w:val="24"/>
              <w:highlight w:val="yellow"/>
              <w:lang w:val="zh-CN"/>
              <w14:textFill>
                <w14:solidFill>
                  <w14:schemeClr w14:val="tx1"/>
                </w14:solidFill>
              </w14:textFill>
            </w:rPr>
            <w:fldChar w:fldCharType="end"/>
          </w:r>
        </w:p>
      </w:sdtContent>
    </w:sdt>
    <w:p w14:paraId="7B09EB9E">
      <w:pPr>
        <w:rPr>
          <w:rFonts w:hint="eastAsia"/>
        </w:rPr>
        <w:sectPr>
          <w:footerReference r:id="rId6" w:type="default"/>
          <w:pgSz w:w="11906" w:h="16838"/>
          <w:pgMar w:top="1440" w:right="1701" w:bottom="1440" w:left="1701" w:header="851" w:footer="992" w:gutter="0"/>
          <w:pgNumType w:start="1" w:chapStyle="1"/>
          <w:cols w:space="720" w:num="1"/>
        </w:sectPr>
      </w:pPr>
    </w:p>
    <w:p w14:paraId="33EFADA3">
      <w:pPr>
        <w:pStyle w:val="2"/>
        <w:pageBreakBefore w:val="0"/>
        <w:kinsoku/>
        <w:wordWrap w:val="0"/>
        <w:overflowPunct/>
        <w:topLinePunct w:val="0"/>
        <w:bidi w:val="0"/>
        <w:spacing w:before="0" w:after="0" w:line="360" w:lineRule="auto"/>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 xml:space="preserve">第一章 </w:t>
      </w:r>
      <w:r>
        <w:rPr>
          <w:rFonts w:hint="eastAsia" w:ascii="仿宋" w:hAnsi="仿宋" w:eastAsia="仿宋" w:cs="仿宋"/>
          <w:color w:val="000000" w:themeColor="text1"/>
          <w:sz w:val="36"/>
          <w:szCs w:val="36"/>
          <w:highlight w:val="none"/>
          <w:lang w:val="en-US" w:eastAsia="zh-CN"/>
          <w14:textFill>
            <w14:solidFill>
              <w14:schemeClr w14:val="tx1"/>
            </w14:solidFill>
          </w14:textFill>
        </w:rPr>
        <w:t>比选</w:t>
      </w:r>
      <w:bookmarkEnd w:id="0"/>
      <w:bookmarkEnd w:id="1"/>
      <w:bookmarkEnd w:id="2"/>
      <w:r>
        <w:rPr>
          <w:rFonts w:hint="eastAsia" w:ascii="仿宋" w:hAnsi="仿宋" w:eastAsia="仿宋" w:cs="仿宋"/>
          <w:color w:val="000000" w:themeColor="text1"/>
          <w:sz w:val="36"/>
          <w:szCs w:val="36"/>
          <w:highlight w:val="none"/>
          <w:lang w:val="en-US" w:eastAsia="zh-CN"/>
          <w14:textFill>
            <w14:solidFill>
              <w14:schemeClr w14:val="tx1"/>
            </w14:solidFill>
          </w14:textFill>
        </w:rPr>
        <w:t>公告</w:t>
      </w:r>
    </w:p>
    <w:p w14:paraId="19087D7B">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bookmarkStart w:id="3" w:name="_Toc180954103"/>
      <w:bookmarkStart w:id="4" w:name="_Toc180954073"/>
      <w:bookmarkStart w:id="5" w:name="_Toc21375"/>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拟对“</w:t>
      </w:r>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国家成都农业科技中心园区</w:t>
      </w:r>
      <w:r>
        <w:rPr>
          <w:rFonts w:hint="eastAsia" w:ascii="仿宋" w:hAnsi="仿宋" w:eastAsia="仿宋" w:cs="仿宋"/>
          <w:color w:val="000000" w:themeColor="text1"/>
          <w:kern w:val="1"/>
          <w:sz w:val="24"/>
          <w:szCs w:val="24"/>
          <w:highlight w:val="none"/>
          <w:u w:val="single"/>
          <w:lang w:val="en-US" w:eastAsia="zh-CN"/>
          <w14:textFill>
            <w14:solidFill>
              <w14:schemeClr w14:val="tx1"/>
            </w14:solidFill>
          </w14:textFill>
        </w:rPr>
        <w:t>电梯维护保养服务</w:t>
      </w:r>
      <w:r>
        <w:rPr>
          <w:rFonts w:hint="eastAsia" w:ascii="仿宋" w:hAnsi="仿宋" w:eastAsia="仿宋" w:cs="仿宋"/>
          <w:color w:val="000000" w:themeColor="text1"/>
          <w:kern w:val="1"/>
          <w:sz w:val="24"/>
          <w:szCs w:val="24"/>
          <w:highlight w:val="none"/>
          <w14:textFill>
            <w14:solidFill>
              <w14:schemeClr w14:val="tx1"/>
            </w14:solidFill>
          </w14:textFill>
        </w:rPr>
        <w:t>”以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方式进行采购，兹邀请符合资格条件的供应商就下述采购项目提交密封的响应文件并提出报价。</w:t>
      </w:r>
    </w:p>
    <w:p w14:paraId="18AEC927">
      <w:pPr>
        <w:pageBreakBefore w:val="0"/>
        <w:widowControl/>
        <w:numPr>
          <w:ilvl w:val="0"/>
          <w:numId w:val="18"/>
        </w:numPr>
        <w:kinsoku/>
        <w:wordWrap w:val="0"/>
        <w:overflowPunct/>
        <w:topLinePunct w:val="0"/>
        <w:bidi w:val="0"/>
        <w:spacing w:line="360" w:lineRule="auto"/>
        <w:ind w:firstLine="482" w:firstLineChars="20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采购项目名称</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国家成都农业科技中心园区</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电梯维护保养服务</w:t>
      </w:r>
    </w:p>
    <w:p w14:paraId="5BD704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二、采购项目编号：</w:t>
      </w:r>
      <w:r>
        <w:rPr>
          <w:rFonts w:hint="eastAsia" w:ascii="仿宋" w:hAnsi="仿宋" w:eastAsia="仿宋" w:cs="仿宋"/>
          <w:b/>
          <w:color w:val="000000" w:themeColor="text1"/>
          <w:kern w:val="1"/>
          <w:sz w:val="30"/>
          <w:szCs w:val="30"/>
          <w:highlight w:val="none"/>
          <w:lang w:val="en-US" w:eastAsia="zh-CN"/>
          <w14:textFill>
            <w14:solidFill>
              <w14:schemeClr w14:val="tx1"/>
            </w14:solidFill>
          </w14:textFill>
        </w:rPr>
        <w:t>cdnykjzx2025061601cw</w:t>
      </w: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p w14:paraId="32A13A4C">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三、采购内容概况：</w:t>
      </w:r>
      <w:r>
        <w:rPr>
          <w:rFonts w:hint="eastAsia" w:ascii="仿宋" w:hAnsi="仿宋" w:eastAsia="仿宋" w:cs="仿宋"/>
          <w:color w:val="000000" w:themeColor="text1"/>
          <w:sz w:val="24"/>
          <w:highlight w:val="none"/>
          <w14:textFill>
            <w14:solidFill>
              <w14:schemeClr w14:val="tx1"/>
            </w14:solidFill>
          </w14:textFill>
        </w:rPr>
        <w:t>国家成都农业科技中心</w:t>
      </w:r>
      <w:r>
        <w:rPr>
          <w:rFonts w:hint="eastAsia" w:ascii="仿宋" w:hAnsi="仿宋" w:eastAsia="仿宋" w:cs="仿宋"/>
          <w:color w:val="000000" w:themeColor="text1"/>
          <w:sz w:val="24"/>
          <w:highlight w:val="none"/>
          <w:lang w:val="en-US" w:eastAsia="zh-CN"/>
          <w14:textFill>
            <w14:solidFill>
              <w14:schemeClr w14:val="tx1"/>
            </w14:solidFill>
          </w14:textFill>
        </w:rPr>
        <w:t>总建筑面积为10万㎡，分4个地块16栋建筑，共31台电梯，目前启用27台，为2-12层多层站通力电梯。服务期限为1年</w:t>
      </w:r>
      <w:r>
        <w:rPr>
          <w:rFonts w:hint="eastAsia" w:ascii="仿宋" w:hAnsi="仿宋" w:eastAsia="仿宋" w:cs="仿宋"/>
          <w:bCs/>
          <w:color w:val="000000" w:themeColor="text1"/>
          <w:kern w:val="1"/>
          <w:sz w:val="24"/>
          <w:szCs w:val="24"/>
          <w:highlight w:val="none"/>
          <w14:textFill>
            <w14:solidFill>
              <w14:schemeClr w14:val="tx1"/>
            </w14:solidFill>
          </w14:textFill>
        </w:rPr>
        <w:t>。</w:t>
      </w:r>
    </w:p>
    <w:p w14:paraId="35652002">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四、合格供应商资格要求：</w:t>
      </w:r>
    </w:p>
    <w:p w14:paraId="46AE2D6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1328046D">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3401A1B7">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资质要求：具有有效的《中华人民共和国特种设备安装改造修理许可证》许可项目：电梯（安装、改造、维修)；许可类型：乘客电梯、载货电梯；级别：B级及以上，或具有有效的《中华人民共和国特种设备生产许可证》许可项目：电梯安装（含修理)，许可子项目：曳引驱动乘客电梯(含消防员电梯)V≤2.5m/s及以上、曳引驱动载货电梯和强制驱动载货电梯(含防爆电梯中的载货电梯)；</w:t>
      </w:r>
    </w:p>
    <w:p w14:paraId="2C26B88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38041CB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70EC07C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4781EB7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7C188C0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成都农业科技中心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283E5990">
      <w:pPr>
        <w:pageBreakBefore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bookmarkStart w:id="145" w:name="_GoBack"/>
      <w:bookmarkEnd w:id="145"/>
    </w:p>
    <w:p w14:paraId="41F490D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五、</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文件获取时间、方式：</w:t>
      </w:r>
    </w:p>
    <w:p w14:paraId="22C428E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1、获取时间：2025年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日09：00至2025年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日17：00。（北京时间）</w:t>
      </w:r>
    </w:p>
    <w:p w14:paraId="073B08A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、供应商请登录</w:t>
      </w:r>
      <w:r>
        <w:rPr>
          <w:rFonts w:hint="eastAsia" w:ascii="仿宋" w:hAnsi="仿宋" w:eastAsia="仿宋" w:cs="仿宋"/>
          <w:color w:val="000000" w:themeColor="text1"/>
          <w:sz w:val="24"/>
          <w:highlight w:val="none"/>
          <w:lang w:val="en-US" w:eastAsia="zh-CN"/>
          <w14:textFill>
            <w14:solidFill>
              <w14:schemeClr w14:val="tx1"/>
            </w14:solidFill>
          </w14:textFill>
        </w:rPr>
        <w:t>中国农业科学院都市农业研究所</w:t>
      </w:r>
      <w:r>
        <w:rPr>
          <w:rFonts w:hint="eastAsia" w:ascii="仿宋" w:hAnsi="仿宋" w:eastAsia="仿宋" w:cs="仿宋"/>
          <w:color w:val="000000" w:themeColor="text1"/>
          <w:sz w:val="24"/>
          <w:highlight w:val="none"/>
          <w14:textFill>
            <w14:solidFill>
              <w14:schemeClr w14:val="tx1"/>
            </w14:solidFill>
          </w14:textFill>
        </w:rPr>
        <w:t>官方网站（https://iua.caas.cn/）选择</w:t>
      </w:r>
      <w:r>
        <w:rPr>
          <w:rFonts w:hint="eastAsia" w:ascii="仿宋" w:hAnsi="仿宋" w:eastAsia="仿宋" w:cs="仿宋"/>
          <w:color w:val="000000" w:themeColor="text1"/>
          <w:sz w:val="24"/>
          <w:highlight w:val="none"/>
          <w:lang w:val="en-US" w:eastAsia="zh-CN"/>
          <w14:textFill>
            <w14:solidFill>
              <w14:schemeClr w14:val="tx1"/>
            </w14:solidFill>
          </w14:textFill>
        </w:rPr>
        <w:t>下载（</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w:t>
      </w:r>
      <w:r>
        <w:rPr>
          <w:rFonts w:hint="eastAsia" w:ascii="仿宋_GB2312" w:hAnsi="仿宋_GB2312" w:eastAsia="仿宋_GB2312" w:cs="仿宋_GB2312"/>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28FF27D">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六、递交响应文件截止时间：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kern w:val="1"/>
          <w:sz w:val="24"/>
          <w:szCs w:val="24"/>
          <w:highlight w:val="none"/>
          <w14:textFill>
            <w14:solidFill>
              <w14:schemeClr w14:val="tx1"/>
            </w14:solidFill>
          </w14:textFill>
        </w:rPr>
        <w:t>（北京时间）；</w:t>
      </w:r>
    </w:p>
    <w:p w14:paraId="740F8651">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供应商应于递交响应文件截止时间之前将响应文件送达</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地点，逾期送达或没有密封的将被拒绝。本次采购项目不接受邮寄的响应文件。</w:t>
      </w:r>
    </w:p>
    <w:p w14:paraId="6775EFE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七、</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时间、地点：</w:t>
      </w:r>
    </w:p>
    <w:p w14:paraId="538D3B11">
      <w:pPr>
        <w:pageBreakBefore w:val="0"/>
        <w:widowControl/>
        <w:kinsoku/>
        <w:wordWrap w:val="0"/>
        <w:overflowPunct/>
        <w:topLinePunct w:val="0"/>
        <w:bidi w:val="0"/>
        <w:spacing w:line="360" w:lineRule="auto"/>
        <w:ind w:firstLine="480" w:firstLineChars="200"/>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0AFB941A">
      <w:pPr>
        <w:pageBreakBefore w:val="0"/>
        <w:widowControl/>
        <w:kinsoku/>
        <w:wordWrap w:val="0"/>
        <w:overflowPunct/>
        <w:topLinePunct w:val="0"/>
        <w:bidi w:val="0"/>
        <w:spacing w:line="360" w:lineRule="auto"/>
        <w:ind w:firstLine="480"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r>
        <w:rPr>
          <w:rFonts w:hint="eastAsia" w:ascii="仿宋" w:hAnsi="仿宋" w:eastAsia="仿宋" w:cs="仿宋"/>
          <w:color w:val="000000" w:themeColor="text1"/>
          <w:sz w:val="24"/>
          <w:szCs w:val="24"/>
          <w:highlight w:val="none"/>
          <w14:textFill>
            <w14:solidFill>
              <w14:schemeClr w14:val="tx1"/>
            </w14:solidFill>
          </w14:textFill>
        </w:rPr>
        <w:t>。</w:t>
      </w:r>
    </w:p>
    <w:p w14:paraId="3127E530">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八、本项目相关信息在</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中国农业科学院都市农业研究所官网（https://iua.caas.cn/）</w:t>
      </w:r>
      <w:r>
        <w:rPr>
          <w:rFonts w:hint="eastAsia" w:ascii="仿宋" w:hAnsi="仿宋" w:eastAsia="仿宋" w:cs="仿宋"/>
          <w:b/>
          <w:color w:val="000000" w:themeColor="text1"/>
          <w:kern w:val="1"/>
          <w:sz w:val="24"/>
          <w:szCs w:val="24"/>
          <w:highlight w:val="none"/>
          <w14:textFill>
            <w14:solidFill>
              <w14:schemeClr w14:val="tx1"/>
            </w14:solidFill>
          </w14:textFill>
        </w:rPr>
        <w:t>上公示。</w:t>
      </w:r>
    </w:p>
    <w:p w14:paraId="737C2CA1">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九、联系方式：</w:t>
      </w:r>
    </w:p>
    <w:p w14:paraId="6D3C47D1">
      <w:pPr>
        <w:pageBreakBefore w:val="0"/>
        <w:tabs>
          <w:tab w:val="left" w:pos="1095"/>
        </w:tabs>
        <w:kinsoku/>
        <w:wordWrap w:val="0"/>
        <w:overflowPunct/>
        <w:topLinePunct w:val="0"/>
        <w:bidi w:val="0"/>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采购人：</w:t>
      </w:r>
      <w:r>
        <w:rPr>
          <w:rFonts w:hint="eastAsia" w:ascii="仿宋" w:hAnsi="仿宋" w:eastAsia="仿宋" w:cs="仿宋"/>
          <w:b/>
          <w:bCs/>
          <w:color w:val="000000" w:themeColor="text1"/>
          <w:sz w:val="24"/>
          <w:szCs w:val="24"/>
          <w:highlight w:val="none"/>
          <w:lang w:eastAsia="zh-CN"/>
          <w14:textFill>
            <w14:solidFill>
              <w14:schemeClr w14:val="tx1"/>
            </w14:solidFill>
          </w14:textFill>
        </w:rPr>
        <w:t>成都农业科技中心</w:t>
      </w:r>
      <w:r>
        <w:rPr>
          <w:rFonts w:hint="eastAsia" w:ascii="仿宋" w:hAnsi="仿宋" w:eastAsia="仿宋" w:cs="仿宋"/>
          <w:b/>
          <w:bCs/>
          <w:color w:val="000000" w:themeColor="text1"/>
          <w:sz w:val="24"/>
          <w:szCs w:val="24"/>
          <w:highlight w:val="none"/>
          <w14:textFill>
            <w14:solidFill>
              <w14:schemeClr w14:val="tx1"/>
            </w14:solidFill>
          </w14:textFill>
        </w:rPr>
        <w:t>；</w:t>
      </w:r>
    </w:p>
    <w:p w14:paraId="0A1903CE">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r>
        <w:rPr>
          <w:rFonts w:hint="eastAsia" w:ascii="仿宋" w:hAnsi="仿宋" w:eastAsia="仿宋" w:cs="仿宋"/>
          <w:color w:val="000000" w:themeColor="text1"/>
          <w:sz w:val="24"/>
          <w:szCs w:val="24"/>
          <w:highlight w:val="none"/>
          <w14:textFill>
            <w14:solidFill>
              <w14:schemeClr w14:val="tx1"/>
            </w14:solidFill>
          </w14:textFill>
        </w:rPr>
        <w:t>；</w:t>
      </w:r>
    </w:p>
    <w:p w14:paraId="450E6BDB">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r>
        <w:rPr>
          <w:rFonts w:hint="eastAsia" w:ascii="仿宋" w:hAnsi="仿宋" w:eastAsia="仿宋" w:cs="仿宋"/>
          <w:color w:val="000000" w:themeColor="text1"/>
          <w:sz w:val="24"/>
          <w:szCs w:val="24"/>
          <w:highlight w:val="none"/>
          <w14:textFill>
            <w14:solidFill>
              <w14:schemeClr w14:val="tx1"/>
            </w14:solidFill>
          </w14:textFill>
        </w:rPr>
        <w:t>；</w:t>
      </w:r>
    </w:p>
    <w:p w14:paraId="42303040">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r>
        <w:rPr>
          <w:rFonts w:hint="eastAsia" w:ascii="仿宋" w:hAnsi="仿宋" w:eastAsia="仿宋" w:cs="仿宋"/>
          <w:color w:val="000000" w:themeColor="text1"/>
          <w:sz w:val="24"/>
          <w:szCs w:val="24"/>
          <w:highlight w:val="none"/>
          <w14:textFill>
            <w14:solidFill>
              <w14:schemeClr w14:val="tx1"/>
            </w14:solidFill>
          </w14:textFill>
        </w:rPr>
        <w:t>。</w:t>
      </w:r>
    </w:p>
    <w:p w14:paraId="5E39BD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8BBC04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供应商须知</w:t>
      </w:r>
      <w:bookmarkEnd w:id="3"/>
      <w:bookmarkEnd w:id="4"/>
      <w:bookmarkEnd w:id="5"/>
    </w:p>
    <w:p w14:paraId="1DFDF5FA">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bookmarkStart w:id="6" w:name="_Toc11397"/>
      <w:bookmarkStart w:id="7" w:name="_Toc180954104"/>
      <w:bookmarkStart w:id="8" w:name="_Toc17865"/>
      <w:bookmarkStart w:id="9" w:name="_Toc180954151"/>
      <w:bookmarkStart w:id="10" w:name="_Toc1445"/>
      <w:bookmarkStart w:id="11" w:name="_Toc31146"/>
      <w:bookmarkStart w:id="12" w:name="_Toc180954074"/>
      <w:r>
        <w:rPr>
          <w:rFonts w:hint="eastAsia" w:ascii="仿宋" w:hAnsi="仿宋" w:eastAsia="仿宋" w:cs="仿宋"/>
          <w:b/>
          <w:color w:val="000000" w:themeColor="text1"/>
          <w:kern w:val="2"/>
          <w:highlight w:val="none"/>
          <w14:textFill>
            <w14:solidFill>
              <w14:schemeClr w14:val="tx1"/>
            </w14:solidFill>
          </w14:textFill>
        </w:rPr>
        <w:t>一、</w:t>
      </w:r>
      <w:r>
        <w:rPr>
          <w:rFonts w:hint="eastAsia" w:ascii="仿宋" w:hAnsi="仿宋" w:eastAsia="仿宋" w:cs="仿宋"/>
          <w:b/>
          <w:color w:val="000000" w:themeColor="text1"/>
          <w:kern w:val="2"/>
          <w:highlight w:val="none"/>
          <w:lang w:eastAsia="zh-CN"/>
          <w14:textFill>
            <w14:solidFill>
              <w14:schemeClr w14:val="tx1"/>
            </w14:solidFill>
          </w14:textFill>
        </w:rPr>
        <w:t>比选</w:t>
      </w:r>
      <w:r>
        <w:rPr>
          <w:rFonts w:hint="eastAsia" w:ascii="仿宋" w:hAnsi="仿宋" w:eastAsia="仿宋" w:cs="仿宋"/>
          <w:b/>
          <w:color w:val="000000" w:themeColor="text1"/>
          <w:kern w:val="2"/>
          <w:highlight w:val="none"/>
          <w14:textFill>
            <w14:solidFill>
              <w14:schemeClr w14:val="tx1"/>
            </w14:solidFill>
          </w14:textFill>
        </w:rPr>
        <w:t>须知前附表</w:t>
      </w:r>
      <w:bookmarkEnd w:id="6"/>
      <w:bookmarkEnd w:id="7"/>
      <w:bookmarkEnd w:id="8"/>
      <w:bookmarkEnd w:id="9"/>
      <w:bookmarkEnd w:id="10"/>
      <w:bookmarkEnd w:id="11"/>
      <w:bookmarkEnd w:id="12"/>
    </w:p>
    <w:tbl>
      <w:tblPr>
        <w:tblStyle w:val="80"/>
        <w:tblW w:w="8957" w:type="dxa"/>
        <w:jc w:val="center"/>
        <w:tblLayout w:type="fixed"/>
        <w:tblCellMar>
          <w:top w:w="0" w:type="dxa"/>
          <w:left w:w="0" w:type="dxa"/>
          <w:bottom w:w="0" w:type="dxa"/>
          <w:right w:w="0" w:type="dxa"/>
        </w:tblCellMar>
      </w:tblPr>
      <w:tblGrid>
        <w:gridCol w:w="802"/>
        <w:gridCol w:w="1841"/>
        <w:gridCol w:w="6314"/>
      </w:tblGrid>
      <w:tr w14:paraId="3932107A">
        <w:tblPrEx>
          <w:tblCellMar>
            <w:top w:w="0" w:type="dxa"/>
            <w:left w:w="0" w:type="dxa"/>
            <w:bottom w:w="0" w:type="dxa"/>
            <w:right w:w="0" w:type="dxa"/>
          </w:tblCellMar>
        </w:tblPrEx>
        <w:trPr>
          <w:trHeight w:val="607" w:hRule="atLeast"/>
          <w:jc w:val="center"/>
        </w:trPr>
        <w:tc>
          <w:tcPr>
            <w:tcW w:w="802" w:type="dxa"/>
            <w:tcBorders>
              <w:top w:val="double" w:color="000000" w:sz="4" w:space="0"/>
              <w:left w:val="double" w:color="000000" w:sz="4" w:space="0"/>
              <w:bottom w:val="single" w:color="000000" w:sz="4" w:space="0"/>
              <w:right w:val="single" w:color="000000" w:sz="4" w:space="0"/>
            </w:tcBorders>
            <w:noWrap/>
            <w:vAlign w:val="center"/>
          </w:tcPr>
          <w:p w14:paraId="4A22B476">
            <w:pPr>
              <w:pageBreakBefore w:val="0"/>
              <w:kinsoku/>
              <w:wordWrap w:val="0"/>
              <w:overflowPunct/>
              <w:topLinePunct w:val="0"/>
              <w:bidi w:val="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841" w:type="dxa"/>
            <w:tcBorders>
              <w:top w:val="double" w:color="000000" w:sz="4" w:space="0"/>
              <w:left w:val="single" w:color="000000" w:sz="4" w:space="0"/>
              <w:bottom w:val="single" w:color="000000" w:sz="4" w:space="0"/>
              <w:right w:val="single" w:color="000000" w:sz="4" w:space="0"/>
            </w:tcBorders>
            <w:noWrap/>
            <w:vAlign w:val="center"/>
          </w:tcPr>
          <w:p w14:paraId="532A1160">
            <w:pPr>
              <w:pageBreakBefore w:val="0"/>
              <w:kinsoku/>
              <w:wordWrap w:val="0"/>
              <w:overflowPunct/>
              <w:topLinePunct w:val="0"/>
              <w:bidi w:val="0"/>
              <w:ind w:left="38"/>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条款名称</w:t>
            </w:r>
          </w:p>
        </w:tc>
        <w:tc>
          <w:tcPr>
            <w:tcW w:w="6314" w:type="dxa"/>
            <w:tcBorders>
              <w:top w:val="double" w:color="000000" w:sz="4" w:space="0"/>
              <w:left w:val="single" w:color="000000" w:sz="4" w:space="0"/>
              <w:bottom w:val="single" w:color="000000" w:sz="4" w:space="0"/>
              <w:right w:val="double" w:color="000000" w:sz="4" w:space="0"/>
            </w:tcBorders>
            <w:noWrap/>
            <w:vAlign w:val="center"/>
          </w:tcPr>
          <w:p w14:paraId="2B1C61A3">
            <w:pPr>
              <w:pageBreakBefore w:val="0"/>
              <w:kinsoku/>
              <w:wordWrap w:val="0"/>
              <w:overflowPunct/>
              <w:topLinePunct w:val="0"/>
              <w:bidi w:val="0"/>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说明和要求</w:t>
            </w:r>
          </w:p>
        </w:tc>
      </w:tr>
      <w:tr w14:paraId="444A7D75">
        <w:tblPrEx>
          <w:tblCellMar>
            <w:top w:w="0" w:type="dxa"/>
            <w:left w:w="0" w:type="dxa"/>
            <w:bottom w:w="0" w:type="dxa"/>
            <w:right w:w="0" w:type="dxa"/>
          </w:tblCellMar>
        </w:tblPrEx>
        <w:trPr>
          <w:trHeight w:val="23" w:hRule="atLeast"/>
          <w:jc w:val="center"/>
        </w:trPr>
        <w:tc>
          <w:tcPr>
            <w:tcW w:w="802" w:type="dxa"/>
            <w:vMerge w:val="restart"/>
            <w:tcBorders>
              <w:top w:val="single" w:color="000000" w:sz="4" w:space="0"/>
              <w:left w:val="double" w:color="000000" w:sz="4" w:space="0"/>
              <w:bottom w:val="single" w:color="000000" w:sz="4" w:space="0"/>
              <w:right w:val="single" w:color="000000" w:sz="4" w:space="0"/>
            </w:tcBorders>
            <w:noWrap/>
            <w:vAlign w:val="center"/>
          </w:tcPr>
          <w:p w14:paraId="30B1CF94">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36FCD2E">
            <w:pPr>
              <w:pageBreakBefore w:val="0"/>
              <w:kinsoku/>
              <w:wordWrap w:val="0"/>
              <w:overflowPunct/>
              <w:topLinePunct w:val="0"/>
              <w:bidi w:val="0"/>
              <w:spacing w:line="360" w:lineRule="auto"/>
              <w:jc w:val="center"/>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采购预算</w:t>
            </w:r>
          </w:p>
          <w:p w14:paraId="727E542C">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597653C9">
            <w:pPr>
              <w:pageBreakBefore w:val="0"/>
              <w:kinsoku/>
              <w:wordWrap w:val="0"/>
              <w:overflowPunct/>
              <w:topLinePunct w:val="0"/>
              <w:bidi w:val="0"/>
              <w:spacing w:line="360" w:lineRule="auto"/>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人民币：9.5万元</w:t>
            </w:r>
          </w:p>
          <w:p w14:paraId="4B967101">
            <w:pPr>
              <w:pageBreakBefore w:val="0"/>
              <w:kinsoku/>
              <w:wordWrap w:val="0"/>
              <w:overflowPunct/>
              <w:topLinePunct w:val="0"/>
              <w:bidi w:val="0"/>
              <w:spacing w:line="360" w:lineRule="auto"/>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auto"/>
                <w:kern w:val="1"/>
                <w:sz w:val="24"/>
                <w:szCs w:val="24"/>
                <w:highlight w:val="none"/>
              </w:rPr>
              <w:t>超过采购预算的报价，其响应文件作无效处理</w:t>
            </w:r>
          </w:p>
        </w:tc>
      </w:tr>
      <w:tr w14:paraId="3543563D">
        <w:tblPrEx>
          <w:tblCellMar>
            <w:top w:w="0" w:type="dxa"/>
            <w:left w:w="0" w:type="dxa"/>
            <w:bottom w:w="0" w:type="dxa"/>
            <w:right w:w="0" w:type="dxa"/>
          </w:tblCellMar>
        </w:tblPrEx>
        <w:trPr>
          <w:trHeight w:val="23" w:hRule="atLeast"/>
          <w:jc w:val="center"/>
        </w:trPr>
        <w:tc>
          <w:tcPr>
            <w:tcW w:w="802" w:type="dxa"/>
            <w:vMerge w:val="continue"/>
            <w:tcBorders>
              <w:top w:val="single" w:color="000000" w:sz="4" w:space="0"/>
              <w:left w:val="double" w:color="000000" w:sz="4" w:space="0"/>
              <w:bottom w:val="single" w:color="000000" w:sz="4" w:space="0"/>
              <w:right w:val="single" w:color="000000" w:sz="4" w:space="0"/>
            </w:tcBorders>
            <w:noWrap/>
            <w:vAlign w:val="center"/>
          </w:tcPr>
          <w:p w14:paraId="6C93C45E">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5A930241">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最高限价</w:t>
            </w:r>
          </w:p>
          <w:p w14:paraId="3481444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E669FC3">
            <w:pPr>
              <w:pStyle w:val="30"/>
              <w:wordWrap w:val="0"/>
              <w:spacing w:after="0"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万元</w:t>
            </w:r>
          </w:p>
          <w:p w14:paraId="5FE8DAB3">
            <w:pPr>
              <w:pStyle w:val="30"/>
              <w:pageBreakBefore w:val="0"/>
              <w:kinsoku/>
              <w:wordWrap w:val="0"/>
              <w:overflowPunct/>
              <w:topLinePunct w:val="0"/>
              <w:bidi w:val="0"/>
              <w:spacing w:after="0"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超过最高限价的报价，</w:t>
            </w:r>
            <w:r>
              <w:rPr>
                <w:rFonts w:hint="eastAsia" w:ascii="仿宋" w:hAnsi="仿宋" w:eastAsia="仿宋" w:cs="仿宋"/>
                <w:color w:val="auto"/>
                <w:kern w:val="1"/>
                <w:sz w:val="24"/>
                <w:szCs w:val="24"/>
                <w:highlight w:val="none"/>
              </w:rPr>
              <w:t>其响应文件作无效处理</w:t>
            </w:r>
          </w:p>
        </w:tc>
      </w:tr>
      <w:tr w14:paraId="49BA30EB">
        <w:tblPrEx>
          <w:tblCellMar>
            <w:top w:w="0" w:type="dxa"/>
            <w:left w:w="0" w:type="dxa"/>
            <w:bottom w:w="0" w:type="dxa"/>
            <w:right w:w="0" w:type="dxa"/>
          </w:tblCellMar>
        </w:tblPrEx>
        <w:trPr>
          <w:trHeight w:val="6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732679B9">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906FE36">
            <w:pPr>
              <w:pageBreakBefore w:val="0"/>
              <w:kinsoku/>
              <w:wordWrap w:val="0"/>
              <w:overflowPunct/>
              <w:topLinePunct w:val="0"/>
              <w:bidi w:val="0"/>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评审情况公告</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86674A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本项目评审情况将在中国农业科学院都市农业研究所官网中予以公告。</w:t>
            </w:r>
          </w:p>
        </w:tc>
      </w:tr>
      <w:tr w14:paraId="38A20264">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3C4D1A43">
            <w:pPr>
              <w:pageBreakBefore w:val="0"/>
              <w:kinsoku/>
              <w:wordWrap w:val="0"/>
              <w:overflowPunct/>
              <w:topLinePunct w:val="0"/>
              <w:bidi w:val="0"/>
              <w:spacing w:line="24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8D43B75">
            <w:pPr>
              <w:pageBreakBefore w:val="0"/>
              <w:widowControl/>
              <w:kinsoku/>
              <w:wordWrap w:val="0"/>
              <w:overflowPunct/>
              <w:topLinePunct w:val="0"/>
              <w:bidi w:val="0"/>
              <w:spacing w:line="24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比选保证金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18C52EF">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7D4E0D8A">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0FA6CF26">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479BFD5">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合同分包</w:t>
            </w:r>
          </w:p>
          <w:p w14:paraId="13312560">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FC99BAD">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☑本项目不接受合同分包。</w:t>
            </w:r>
          </w:p>
          <w:p w14:paraId="1A563AD0">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□本项目接受合同分包，具体要求如下：</w:t>
            </w:r>
          </w:p>
          <w:p w14:paraId="3631FA44">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供应商根据比选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57B65ADB">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2、分包履行合同的部分应当为采购项目的非主体、非关键性工作，不属于成交供应商的主要合同义务。本项目可以分包履行的具体内容、金额或者比例：/</w:t>
            </w:r>
          </w:p>
        </w:tc>
      </w:tr>
      <w:tr w14:paraId="75ADF10B">
        <w:tblPrEx>
          <w:tblCellMar>
            <w:top w:w="0" w:type="dxa"/>
            <w:left w:w="0" w:type="dxa"/>
            <w:bottom w:w="0" w:type="dxa"/>
            <w:right w:w="0" w:type="dxa"/>
          </w:tblCellMar>
        </w:tblPrEx>
        <w:trPr>
          <w:trHeight w:val="619"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53281FD">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A092CA3">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履约保证金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6B3FE47E">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4D936E43">
        <w:tblPrEx>
          <w:tblCellMar>
            <w:top w:w="0" w:type="dxa"/>
            <w:left w:w="0" w:type="dxa"/>
            <w:bottom w:w="0" w:type="dxa"/>
            <w:right w:w="0" w:type="dxa"/>
          </w:tblCellMar>
        </w:tblPrEx>
        <w:trPr>
          <w:trHeight w:val="672" w:hRule="atLeast"/>
          <w:jc w:val="center"/>
        </w:trPr>
        <w:tc>
          <w:tcPr>
            <w:tcW w:w="802" w:type="dxa"/>
            <w:tcBorders>
              <w:top w:val="single" w:color="000000" w:sz="4" w:space="0"/>
              <w:left w:val="double" w:color="000000" w:sz="4" w:space="0"/>
              <w:bottom w:val="single" w:color="auto" w:sz="4" w:space="0"/>
              <w:right w:val="single" w:color="000000" w:sz="4" w:space="0"/>
            </w:tcBorders>
            <w:noWrap/>
            <w:vAlign w:val="center"/>
          </w:tcPr>
          <w:p w14:paraId="6A2931A2">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1" w:type="dxa"/>
            <w:tcBorders>
              <w:top w:val="single" w:color="000000" w:sz="4" w:space="0"/>
              <w:left w:val="single" w:color="000000" w:sz="4" w:space="0"/>
              <w:bottom w:val="single" w:color="auto" w:sz="4" w:space="0"/>
              <w:right w:val="single" w:color="000000" w:sz="4" w:space="0"/>
            </w:tcBorders>
            <w:noWrap/>
            <w:vAlign w:val="center"/>
          </w:tcPr>
          <w:p w14:paraId="75B285C9">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文件咨询</w:t>
            </w:r>
          </w:p>
        </w:tc>
        <w:tc>
          <w:tcPr>
            <w:tcW w:w="6314" w:type="dxa"/>
            <w:tcBorders>
              <w:top w:val="single" w:color="000000" w:sz="4" w:space="0"/>
              <w:left w:val="single" w:color="000000" w:sz="4" w:space="0"/>
              <w:bottom w:val="single" w:color="auto" w:sz="4" w:space="0"/>
              <w:right w:val="double" w:color="000000" w:sz="4" w:space="0"/>
            </w:tcBorders>
            <w:noWrap/>
            <w:vAlign w:val="center"/>
          </w:tcPr>
          <w:p w14:paraId="1F233DB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2FE7F8">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2BCA0F0C">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CB4BC4F">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2420158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开标、评审工作咨询</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9F0ECA3">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4AD751E">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392F08B7">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269A899E">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2BDCB3D">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成交通知书领取</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D6F0D26">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成交公告在</w:t>
            </w:r>
            <w:r>
              <w:rPr>
                <w:rFonts w:hint="eastAsia" w:ascii="仿宋" w:hAnsi="仿宋" w:eastAsia="仿宋" w:cs="仿宋"/>
                <w:color w:val="000000" w:themeColor="text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sz w:val="24"/>
                <w:szCs w:val="24"/>
                <w:highlight w:val="none"/>
                <w14:textFill>
                  <w14:solidFill>
                    <w14:schemeClr w14:val="tx1"/>
                  </w14:solidFill>
                </w14:textFill>
              </w:rPr>
              <w:t>上公告后，请成交供应商凭有效身份证件到</w:t>
            </w:r>
            <w:r>
              <w:rPr>
                <w:rFonts w:hint="eastAsia" w:ascii="仿宋" w:hAnsi="仿宋" w:eastAsia="仿宋" w:cs="仿宋"/>
                <w:color w:val="000000" w:themeColor="text1"/>
                <w:sz w:val="24"/>
                <w:szCs w:val="24"/>
                <w:highlight w:val="none"/>
                <w:lang w:val="en-US" w:eastAsia="zh-CN"/>
                <w14:textFill>
                  <w14:solidFill>
                    <w14:schemeClr w14:val="tx1"/>
                  </w14:solidFill>
                </w14:textFill>
              </w:rPr>
              <w:t>成都农业科技中心</w:t>
            </w:r>
            <w:r>
              <w:rPr>
                <w:rFonts w:hint="eastAsia" w:ascii="仿宋" w:hAnsi="仿宋" w:eastAsia="仿宋" w:cs="仿宋"/>
                <w:color w:val="000000" w:themeColor="text1"/>
                <w:sz w:val="24"/>
                <w:szCs w:val="24"/>
                <w:highlight w:val="none"/>
                <w14:textFill>
                  <w14:solidFill>
                    <w14:schemeClr w14:val="tx1"/>
                  </w14:solidFill>
                </w14:textFill>
              </w:rPr>
              <w:t>领取成交通知书。</w:t>
            </w:r>
          </w:p>
          <w:p w14:paraId="5B5B4BE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CC2C0D">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0091E2AD">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070645D5">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3551954">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3A89D77">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供应商询问</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0850627B">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5E7F4408">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5B32B229">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1B2600D3">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7E93E4B">
            <w:pPr>
              <w:pageBreakBefore w:val="0"/>
              <w:kinsoku/>
              <w:wordWrap w:val="0"/>
              <w:overflowPunct/>
              <w:topLinePunct w:val="0"/>
              <w:bidi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D273A40">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供应商质疑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947D4A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肖老师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D72526C">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szCs w:val="24"/>
                <w:highlight w:val="none"/>
                <w:lang w:val="en-US" w:eastAsia="zh-CN"/>
                <w14:textFill>
                  <w14:solidFill>
                    <w14:schemeClr w14:val="tx1"/>
                  </w14:solidFill>
                </w14:textFill>
              </w:rPr>
              <w:t>15928477097</w:t>
            </w:r>
          </w:p>
          <w:p w14:paraId="23A91DB4">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bl>
    <w:p w14:paraId="554F7B77">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3" w:name="_Toc22660"/>
      <w:bookmarkStart w:id="14" w:name="_Toc86"/>
      <w:bookmarkStart w:id="15" w:name="_Toc180954152"/>
      <w:bookmarkStart w:id="16" w:name="_Toc1214"/>
      <w:bookmarkStart w:id="17" w:name="_Toc180954075"/>
      <w:bookmarkStart w:id="18" w:name="_Toc5981"/>
      <w:bookmarkStart w:id="19" w:name="_Toc180954105"/>
      <w:r>
        <w:rPr>
          <w:rFonts w:hint="eastAsia" w:ascii="仿宋" w:hAnsi="仿宋" w:eastAsia="仿宋" w:cs="仿宋"/>
          <w:b/>
          <w:color w:val="000000" w:themeColor="text1"/>
          <w:kern w:val="2"/>
          <w:highlight w:val="none"/>
          <w14:textFill>
            <w14:solidFill>
              <w14:schemeClr w14:val="tx1"/>
            </w14:solidFill>
          </w14:textFill>
        </w:rPr>
        <w:t>二、总则</w:t>
      </w:r>
      <w:bookmarkEnd w:id="13"/>
      <w:bookmarkEnd w:id="14"/>
      <w:bookmarkEnd w:id="15"/>
      <w:bookmarkEnd w:id="16"/>
      <w:bookmarkEnd w:id="17"/>
      <w:bookmarkEnd w:id="18"/>
      <w:bookmarkEnd w:id="19"/>
    </w:p>
    <w:p w14:paraId="7AF1DFE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1、适用范围</w:t>
      </w:r>
    </w:p>
    <w:p w14:paraId="1776C8B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文件仅适用于本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邀请中所指采购项目。</w:t>
      </w:r>
    </w:p>
    <w:p w14:paraId="70797B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2、定义</w:t>
      </w:r>
    </w:p>
    <w:p w14:paraId="6933E78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 “采购人”系指</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44F0E9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 “供应商”系指拟响应招标、参加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竞争的法人、其他组织或者自然人。</w:t>
      </w:r>
    </w:p>
    <w:p w14:paraId="5676C64A">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文件要求供应商提交的原件，是指原始件（即：资料生成时的原始形态，包括所加盖的印章、相关人员签字笔迹等均是原始印痕、印迹和笔迹。）</w:t>
      </w:r>
    </w:p>
    <w:p w14:paraId="7AF1499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文件所称“鲜章”，是指加盖的印章原始印痕（印迹），即把印章直接在纸页上盖出的印痕（印迹）。无特殊说明，本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文件凡是要求“单位(供应商)盖章”的地方，均应加盖单位的“行政公章”，不得使用专用印章（如合同章、税务专用章、投标专用章等）或下属单位印章代替。</w:t>
      </w:r>
    </w:p>
    <w:p w14:paraId="670C520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3、</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费用（实质性要求）</w:t>
      </w:r>
    </w:p>
    <w:p w14:paraId="6EC0AC8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无论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的过程和结果如何，供应商自行承担所有与参加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有关的全部费用。</w:t>
      </w:r>
    </w:p>
    <w:p w14:paraId="3D289FF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4、参加人员及要求（实质性要求）</w:t>
      </w:r>
    </w:p>
    <w:p w14:paraId="7D9BED0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4.1 供应商须由法定代表人或其授权的工作人员作为委托代理人参加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，随时准备对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小组的询问予以解答，对现场做出的解答需签字确认并承担法律责任。</w:t>
      </w:r>
    </w:p>
    <w:p w14:paraId="737BB84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4.2 法定代表人或其代理人参加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时，须携带身份证或其他与法定代表人或其代理人身份相符的有效证件原件，以备查验。</w:t>
      </w:r>
    </w:p>
    <w:p w14:paraId="78C737E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5、</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文件说明</w:t>
      </w:r>
    </w:p>
    <w:p w14:paraId="54D48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5.1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文件的构成</w:t>
      </w:r>
    </w:p>
    <w:p w14:paraId="53256AC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文件包括供应商资格条件、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邀请、采购方式、采购预算、采购需求、政府采购政策要求、评审程序、评审方法、评审标准、价格构成或者报价要求、响应文件编制要求、</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保证金交纳数额和形式以及不予退还的情形、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过程中可能实质性变动的内容、响应文件提交的截止时间、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时间及地点以及合同草案条款等。</w:t>
      </w:r>
    </w:p>
    <w:p w14:paraId="63099A2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文件的澄清、修改</w:t>
      </w:r>
    </w:p>
    <w:p w14:paraId="393BF48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提交首次响应文件截止之日前，采购人/可以对已发出的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文件进行必要的澄清或者修改，澄清或者修改的内容作为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文件的组成部分。澄清或者修改的内容可能影响响应文件编制的，采购人/将在提交首次响应文件截止时间至少5日前，以书面形式通知所有获取了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文件的供应商；不足5日的，采购人/将顺延提交首次响应文件截止时间。</w:t>
      </w:r>
    </w:p>
    <w:p w14:paraId="5381DBC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6、响应文件编写要求</w:t>
      </w:r>
    </w:p>
    <w:p w14:paraId="1AD4653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6.1 总体要求</w:t>
      </w:r>
    </w:p>
    <w:p w14:paraId="31D652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文件的要求编制响应文件，并对其提交的响应文件的真实性、合法性承担法律责任。</w:t>
      </w:r>
    </w:p>
    <w:p w14:paraId="7EF541D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 语言及计量单位（实质性要求）</w:t>
      </w:r>
    </w:p>
    <w:p w14:paraId="22B3A6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6.2.1 响应文件及供应商和采购人、就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交换的文件和往来信件，应以中文书写，辅助材料及证明材料以中文说明为准。</w:t>
      </w:r>
    </w:p>
    <w:p w14:paraId="1D89FF3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6.2.2 除在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文件中技术规格中另有规定外，响应文件所使用的计量单位均应使用中华人民共和国法定计量单位。</w:t>
      </w:r>
    </w:p>
    <w:p w14:paraId="320C55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 响应文件的组成</w:t>
      </w:r>
    </w:p>
    <w:p w14:paraId="2AE5672D">
      <w:pPr>
        <w:pageBreakBefore w:val="0"/>
        <w:kinsoku/>
        <w:wordWrap w:val="0"/>
        <w:overflowPunct/>
        <w:topLinePunct w:val="0"/>
        <w:bidi w:val="0"/>
        <w:spacing w:line="360" w:lineRule="auto"/>
        <w:ind w:firstLine="476"/>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6.3.1供应商须按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文件的要求编写响应文件，对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文件提出的要求和条</w:t>
      </w:r>
      <w:r>
        <w:rPr>
          <w:rFonts w:hint="eastAsia" w:ascii="仿宋" w:hAnsi="仿宋" w:eastAsia="仿宋" w:cs="仿宋"/>
          <w:color w:val="000000" w:themeColor="text1"/>
          <w:sz w:val="24"/>
          <w:szCs w:val="24"/>
          <w:highlight w:val="none"/>
          <w14:textFill>
            <w14:solidFill>
              <w14:schemeClr w14:val="tx1"/>
            </w14:solidFill>
          </w14:textFill>
        </w:rPr>
        <w:t>件做出实质性响应。响应文件应包括但不限于下列内容：</w:t>
      </w:r>
    </w:p>
    <w:p w14:paraId="6DC41778">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文件一：资格性响应文件</w:t>
      </w:r>
    </w:p>
    <w:p w14:paraId="46EF6974">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1、法定代表人/单位负责人身份证明书；</w:t>
      </w:r>
    </w:p>
    <w:p w14:paraId="11B8A5E5">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2、供应商法定代表人/单位负责人授权书；</w:t>
      </w:r>
    </w:p>
    <w:p w14:paraId="1567230F">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3、承诺函；</w:t>
      </w:r>
    </w:p>
    <w:p w14:paraId="7B78AEFD">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文件第五章规定的其他资格证明材料。</w:t>
      </w:r>
    </w:p>
    <w:p w14:paraId="4D3551BB">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文件二：技术、服务性响应文件</w:t>
      </w:r>
    </w:p>
    <w:p w14:paraId="1DFECD43">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1、响应函；</w:t>
      </w:r>
    </w:p>
    <w:p w14:paraId="45D6EEA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2、承诺函；</w:t>
      </w:r>
    </w:p>
    <w:p w14:paraId="3139ED3B">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、供应商基本情况表；</w:t>
      </w:r>
    </w:p>
    <w:p w14:paraId="4DE0A78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、供应商本项目管理、技术、服务人员情况表；</w:t>
      </w:r>
    </w:p>
    <w:p w14:paraId="012E5C19">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、类似项目业绩一览表；</w:t>
      </w:r>
    </w:p>
    <w:p w14:paraId="39A5644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、技术、服务响应偏离表；</w:t>
      </w:r>
    </w:p>
    <w:p w14:paraId="1D438EFE">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、商务应答表；</w:t>
      </w:r>
    </w:p>
    <w:p w14:paraId="0271AF2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项目实施方案</w:t>
      </w:r>
      <w:r>
        <w:rPr>
          <w:rFonts w:hint="eastAsia" w:ascii="仿宋" w:hAnsi="仿宋" w:eastAsia="仿宋" w:cs="仿宋"/>
          <w:color w:val="000000" w:themeColor="text1"/>
          <w:sz w:val="24"/>
          <w:szCs w:val="24"/>
          <w:highlight w:val="none"/>
          <w14:textFill>
            <w14:solidFill>
              <w14:schemeClr w14:val="tx1"/>
            </w14:solidFill>
          </w14:textFill>
        </w:rPr>
        <w:t>；</w:t>
      </w:r>
    </w:p>
    <w:p w14:paraId="2684CD8F">
      <w:pPr>
        <w:pageBreakBefore w:val="0"/>
        <w:kinsoku/>
        <w:wordWrap w:val="0"/>
        <w:overflowPunct/>
        <w:topLinePunct w:val="0"/>
        <w:bidi w:val="0"/>
        <w:spacing w:line="360" w:lineRule="auto"/>
        <w:ind w:left="42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文件要求的其它材料。</w:t>
      </w:r>
    </w:p>
    <w:p w14:paraId="7023F95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6.3.2响应文件分为：资格性响应文件和技术、服务性响应文件、相应的电子文档及报价函四部分，应分册装订密封。资格性响应文件用于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小组资格审查，技术、服务性响应文件用于供应商与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3E2427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6.3.3供应商递交的响应文件为一式三份，其中正本一份，副本二份。响应文件正本和副本均需打印或用不褪色的墨水中文书写，副本可采用正本的复印件，并分别装订成册。在响应文件封面标明项目名称、采购项目编号、供应商名称以及“资格性响应文件”、“技术、服务性响应文件”。电子文档采用U盘制作。</w:t>
      </w:r>
    </w:p>
    <w:p w14:paraId="4AB0ED4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6.4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有效期（实质性要求）</w:t>
      </w:r>
    </w:p>
    <w:p w14:paraId="3CAAF2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24"/>
          <w:sz w:val="24"/>
          <w:szCs w:val="24"/>
          <w:highlight w:val="none"/>
          <w14:textFill>
            <w14:solidFill>
              <w14:schemeClr w14:val="tx1"/>
            </w14:solidFill>
          </w14:textFill>
        </w:rPr>
      </w:pPr>
      <w:r>
        <w:rPr>
          <w:rFonts w:hint="eastAsia" w:ascii="仿宋" w:hAnsi="仿宋" w:eastAsia="仿宋" w:cs="仿宋"/>
          <w:color w:val="000000" w:themeColor="text1"/>
          <w:kern w:val="24"/>
          <w:sz w:val="24"/>
          <w:szCs w:val="24"/>
          <w:highlight w:val="none"/>
          <w14:textFill>
            <w14:solidFill>
              <w14:schemeClr w14:val="tx1"/>
            </w14:solidFill>
          </w14:textFill>
        </w:rPr>
        <w:t xml:space="preserve">6.4.1 </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有效期为递交</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响应文件截止之日起</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天。响应文件中的有效期短于</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天的，视为无效响应文件。</w:t>
      </w:r>
    </w:p>
    <w:p w14:paraId="6A5775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6.4.2 特殊情况下，采购人可以于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有效期满之前，向供应商提出延长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有效期的要求。答复应以书面形式进行。对于同意该要求的供应商，既不要求也不允许其修改响应文件，但将要求其相应延长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保证金的有效期。</w:t>
      </w:r>
    </w:p>
    <w:p w14:paraId="0D6ECA5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6.5 响应文件的递交</w:t>
      </w:r>
    </w:p>
    <w:p w14:paraId="7DA64FB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6.5.1 响应文件的密封和标记 </w:t>
      </w:r>
    </w:p>
    <w:p w14:paraId="78839A3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响应文件“资格性响应文件”、“技术、服务性响应文件”应分别封装于不同的密封袋内，所有外层密封袋标注项目名称、采购项目编号、供应商名称、年月日。</w:t>
      </w:r>
    </w:p>
    <w:p w14:paraId="3BE260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所有外层密封袋的封口处应粘贴牢固，并加盖密封章（供应商印章）。</w:t>
      </w:r>
    </w:p>
    <w:p w14:paraId="6C487C7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6.5.2 供应商应当在规定的提交响应文件截止时间前，将响应文件密封后送达指定地点。在截止时间后送达的响应文件为无效文件，将被拒收。 </w:t>
      </w:r>
    </w:p>
    <w:p w14:paraId="4941EB1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7、响应文件的补充、修改或者撤回</w:t>
      </w:r>
    </w:p>
    <w:p w14:paraId="1990B5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7.1 供应商在提交响应文件截止时间前，可以对所提交的响应文件进行补充、修改或者撤回，并书面通知采购人。补充、修改的内容作为响应文件的组成部分。补充、修改的内容与响应文件不一致的，以补充、修改的内容为准。</w:t>
      </w:r>
    </w:p>
    <w:p w14:paraId="3B1A2C2E">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8、其他</w:t>
      </w:r>
    </w:p>
    <w:p w14:paraId="5F0FB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8.1 本部分如与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文件其他部分有不同之处，以本部分内容为准。</w:t>
      </w:r>
    </w:p>
    <w:p w14:paraId="5116F2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8.2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开始后，除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小组要求提供的以外，不接受供应商及与供应商有关的第三方递交的材料。</w:t>
      </w:r>
    </w:p>
    <w:p w14:paraId="2EB376F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8.3 供应商认为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过程、成交结果使自己的合法权益受到损害的，可按照政府采购的相关规定维权。</w:t>
      </w:r>
    </w:p>
    <w:p w14:paraId="380AE0A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9、采购人增加合同标的权利</w:t>
      </w:r>
    </w:p>
    <w:p w14:paraId="12F2C46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采购合同履行过程中，采购人需要追加与合同标的相同的货物/服务的，在不改变合同其他条款的前提下，可以与成交供应商协商签订补充合同，但所有补充合同的采购金额不得超过原合同采购金额的百分之十。</w:t>
      </w:r>
    </w:p>
    <w:p w14:paraId="36CA5C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10、充分、公平竞争保障措施（实质性要求）</w:t>
      </w:r>
    </w:p>
    <w:p w14:paraId="0FEA1F5F">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 xml:space="preserve">10.1 利害关系供应商处理。 </w:t>
      </w:r>
    </w:p>
    <w:p w14:paraId="74BEF99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4901CA7">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10.2 前期参与供应商处理。</w:t>
      </w:r>
    </w:p>
    <w:p w14:paraId="00AD3C6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201682D8">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10.3 利害关系代理人处理。</w:t>
      </w:r>
    </w:p>
    <w:p w14:paraId="369CD7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 家以上的供应商不得在同一合同项下的采购项目中，同时委托同一个自然人、同一家庭的人员、同一单位的人员作为其代理人，否则其响应文件作为无效处理。</w:t>
      </w:r>
    </w:p>
    <w:p w14:paraId="221B207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11、供应商不得具有的情形（实质性要求）</w:t>
      </w:r>
    </w:p>
    <w:p w14:paraId="43D1187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（1）提供虚假材料谋取中标；</w:t>
      </w:r>
    </w:p>
    <w:p w14:paraId="3FBCD5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（2）采取不正当手段诋毁、排挤其他供应商；</w:t>
      </w:r>
    </w:p>
    <w:p w14:paraId="2BC0BB0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（3）与招标采购单位、其他供应商恶意串通；</w:t>
      </w:r>
    </w:p>
    <w:p w14:paraId="0074B0D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（4）向招标采购单位、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小组成员行贿或者提供其他不正当利益；</w:t>
      </w:r>
    </w:p>
    <w:p w14:paraId="3B28BAF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（5）在投标过程中与招标采购单位进行协商谈判；</w:t>
      </w:r>
    </w:p>
    <w:p w14:paraId="33118DC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（6）中标或者成交后无正当理由拒不与采购人签订采购合同；</w:t>
      </w:r>
    </w:p>
    <w:p w14:paraId="46931D3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（7）未按照采购文件确定的事项签订采购合同；</w:t>
      </w:r>
    </w:p>
    <w:p w14:paraId="229983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（8）将采购合同转包或者违规分包；</w:t>
      </w:r>
    </w:p>
    <w:p w14:paraId="5270F7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（9）提供假冒伪劣产品；</w:t>
      </w:r>
    </w:p>
    <w:p w14:paraId="752F51B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（10）擅自变更、中止或者终止采购合同；</w:t>
      </w:r>
    </w:p>
    <w:p w14:paraId="3E996D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（11）拒绝有关部门的监督检查或者向监督检查部门提供虚假情况；</w:t>
      </w:r>
    </w:p>
    <w:p w14:paraId="5B2E463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（12）为本采购项目前期准备提供设计或咨询服务的；</w:t>
      </w:r>
    </w:p>
    <w:p w14:paraId="1EAC9BA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（13）为本采购项目的代理机构单位；</w:t>
      </w:r>
    </w:p>
    <w:p w14:paraId="2CD9224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（14）为本采购项目的监理单位；</w:t>
      </w:r>
    </w:p>
    <w:p w14:paraId="6AA46F0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（15）为本采购项目的代建单位；</w:t>
      </w:r>
    </w:p>
    <w:p w14:paraId="35CF5E9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（16）与以上单位同为一个法定代表人的；</w:t>
      </w:r>
    </w:p>
    <w:p w14:paraId="7D5728E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（17）与以上单位相互控股或参股的；</w:t>
      </w:r>
    </w:p>
    <w:p w14:paraId="7BA280E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（18）参加本采购项目前三年内，在经营活动中有重大违法记录的；</w:t>
      </w:r>
    </w:p>
    <w:p w14:paraId="05190BC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（19）单位负责人为同一人或者存在直接控股、管理关系的不同单位，不得参加同一包投标或者在未分包的同一招标项目中投标；</w:t>
      </w:r>
    </w:p>
    <w:p w14:paraId="24AC4A6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（20）为采购人的附属机构，或与采购人存在利害关系可能影响招标公正性的；</w:t>
      </w:r>
    </w:p>
    <w:p w14:paraId="501B7CA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（21）法律法规规定的其他情形。</w:t>
      </w:r>
    </w:p>
    <w:p w14:paraId="70B45B1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供应商有上述情形的，按照规定追究法律责任，具备（1）-（21）条情形之一的，同时将取消成交资格或者认定成交无效。</w:t>
      </w:r>
    </w:p>
    <w:p w14:paraId="24771B8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12、响应文件的印制和签署</w:t>
      </w:r>
    </w:p>
    <w:p w14:paraId="4F323D3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12.1 供应商准备的响应文件若正本和副本有不一致的内容，以正本书面响应文件为准。</w:t>
      </w:r>
    </w:p>
    <w:p w14:paraId="0FE3CD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12.2 响应文件的正本和副本均需打印或用不褪色、不变质的墨水书写，并由供应商的法定代表人或其授权代表在规定签章处签字或盖章。响应文件副本可采用正本的复印件。</w:t>
      </w:r>
    </w:p>
    <w:p w14:paraId="7A26A6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12.3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5B4FB65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12.4 响应文件正本和副本应装订完整。</w:t>
      </w:r>
    </w:p>
    <w:p w14:paraId="05D024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12.5 响应文件统一用 A4 幅面纸印制。</w:t>
      </w:r>
    </w:p>
    <w:p w14:paraId="5972B24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1"/>
          <w:sz w:val="24"/>
          <w:szCs w:val="24"/>
          <w:highlight w:val="none"/>
          <w14:textFill>
            <w14:solidFill>
              <w14:schemeClr w14:val="tx1"/>
            </w14:solidFill>
          </w14:textFill>
        </w:rPr>
        <w:t>、联合体（实质性要求）</w:t>
      </w:r>
    </w:p>
    <w:p w14:paraId="719316A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w:t>
      </w:r>
      <w:r>
        <w:rPr>
          <w:rFonts w:hint="eastAsia" w:ascii="仿宋" w:hAnsi="仿宋" w:eastAsia="仿宋" w:cs="仿宋"/>
          <w:b/>
          <w:color w:val="000000" w:themeColor="text1"/>
          <w:kern w:val="1"/>
          <w:sz w:val="24"/>
          <w:szCs w:val="24"/>
          <w:highlight w:val="none"/>
          <w14:textFill>
            <w14:solidFill>
              <w14:schemeClr w14:val="tx1"/>
            </w14:solidFill>
          </w14:textFill>
        </w:rPr>
        <w:t>不接受</w:t>
      </w:r>
      <w:r>
        <w:rPr>
          <w:rFonts w:hint="eastAsia" w:ascii="仿宋" w:hAnsi="仿宋" w:eastAsia="仿宋" w:cs="仿宋"/>
          <w:color w:val="000000" w:themeColor="text1"/>
          <w:kern w:val="1"/>
          <w:sz w:val="24"/>
          <w:szCs w:val="24"/>
          <w:highlight w:val="none"/>
          <w14:textFill>
            <w14:solidFill>
              <w14:schemeClr w14:val="tx1"/>
            </w14:solidFill>
          </w14:textFill>
        </w:rPr>
        <w:t>联合体参加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活动。</w:t>
      </w:r>
    </w:p>
    <w:p w14:paraId="1E4F2428">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kern w:val="1"/>
          <w:sz w:val="24"/>
          <w:szCs w:val="24"/>
          <w:highlight w:val="none"/>
          <w14:textFill>
            <w14:solidFill>
              <w14:schemeClr w14:val="tx1"/>
            </w14:solidFill>
          </w14:textFill>
        </w:rPr>
        <w:t>、履约验收</w:t>
      </w:r>
    </w:p>
    <w:p w14:paraId="212145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.1 本项目采购人将参照政府采购相关法律法规以及</w:t>
      </w:r>
      <w:r>
        <w:rPr>
          <w:rFonts w:hint="eastAsia" w:ascii="仿宋" w:hAnsi="仿宋" w:eastAsia="仿宋" w:cs="仿宋"/>
          <w:bCs/>
          <w:color w:val="000000" w:themeColor="text1"/>
          <w:sz w:val="24"/>
          <w:szCs w:val="24"/>
          <w:highlight w:val="none"/>
          <w14:textFill>
            <w14:solidFill>
              <w14:schemeClr w14:val="tx1"/>
            </w14:solidFill>
          </w14:textFill>
        </w:rPr>
        <w:t>《财政部关于进一步加强政府采购需求和履约验收管理的指导意见》（财库〔2016〕205号）</w:t>
      </w:r>
      <w:r>
        <w:rPr>
          <w:rFonts w:hint="eastAsia" w:ascii="仿宋" w:hAnsi="仿宋" w:eastAsia="仿宋" w:cs="仿宋"/>
          <w:color w:val="000000" w:themeColor="text1"/>
          <w:kern w:val="1"/>
          <w:sz w:val="24"/>
          <w:szCs w:val="24"/>
          <w:highlight w:val="none"/>
          <w14:textFill>
            <w14:solidFill>
              <w14:schemeClr w14:val="tx1"/>
            </w14:solidFill>
          </w14:textFill>
        </w:rPr>
        <w:t>的要求进行验收。</w:t>
      </w:r>
    </w:p>
    <w:p w14:paraId="3B9021D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kern w:val="1"/>
          <w:sz w:val="24"/>
          <w:szCs w:val="24"/>
          <w:highlight w:val="none"/>
          <w14:textFill>
            <w14:solidFill>
              <w14:schemeClr w14:val="tx1"/>
            </w14:solidFill>
          </w14:textFill>
        </w:rPr>
        <w:t>、合同分包（实质性要求）</w:t>
      </w:r>
    </w:p>
    <w:p w14:paraId="66632AA9">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1"/>
          <w:sz w:val="24"/>
          <w:szCs w:val="24"/>
          <w:highlight w:val="none"/>
          <w14:textFill>
            <w14:solidFill>
              <w14:schemeClr w14:val="tx1"/>
            </w14:solidFill>
          </w14:textFill>
        </w:rPr>
        <w:t>.1 本项目合同接受分包与否，以“</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须知前附表”勾选项为准。</w:t>
      </w:r>
    </w:p>
    <w:p w14:paraId="0AD8903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kern w:val="1"/>
          <w:sz w:val="24"/>
          <w:szCs w:val="24"/>
          <w:highlight w:val="none"/>
          <w14:textFill>
            <w14:solidFill>
              <w14:schemeClr w14:val="tx1"/>
            </w14:solidFill>
          </w14:textFill>
        </w:rPr>
        <w:t>、合同转包（实质性要求）</w:t>
      </w:r>
    </w:p>
    <w:p w14:paraId="1FA3DB3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采购项目严禁成交供应商将任何政府采购合同义务转包。本项目所称转包，是指成交供应商将采购合同义务转让给第三人，并退出现有采购合同当事人双方的权利义务关系，受让人（即第三人）成为采购合同的另一方当事人的行为。</w:t>
      </w:r>
    </w:p>
    <w:p w14:paraId="399A47A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成交供应商转包的，视同拒绝履行采购合同义务，将依法追究法律责任。</w:t>
      </w:r>
    </w:p>
    <w:p w14:paraId="65B69B8C">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kern w:val="1"/>
          <w:sz w:val="24"/>
          <w:szCs w:val="24"/>
          <w:highlight w:val="none"/>
          <w14:textFill>
            <w14:solidFill>
              <w14:schemeClr w14:val="tx1"/>
            </w14:solidFill>
          </w14:textFill>
        </w:rPr>
        <w:t>、有下列情形之一的，视为供应商串通投标，其投标无效：</w:t>
      </w:r>
    </w:p>
    <w:p w14:paraId="6A61161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（一）不同供应商的响应文件由同一单位或者个人编制；</w:t>
      </w:r>
    </w:p>
    <w:p w14:paraId="23620A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（二）不同供应商委托同一单位或者个人办理投标事宜；</w:t>
      </w:r>
    </w:p>
    <w:p w14:paraId="7D84F12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（三）不同供应商的响应文件载明的项目管理成员或者联系人员为同一人；</w:t>
      </w:r>
    </w:p>
    <w:p w14:paraId="4E1B544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（四）不同供应商的响应文件异常一致或者投标报价呈规律性差异；</w:t>
      </w:r>
    </w:p>
    <w:p w14:paraId="0CBEF4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（五）不同供应商的响应文件相互混装；</w:t>
      </w:r>
    </w:p>
    <w:p w14:paraId="701E67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（六）不同供应商的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保证金从同一单位或者个人的账户转出。</w:t>
      </w:r>
    </w:p>
    <w:p w14:paraId="458D5A2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1"/>
          <w:sz w:val="24"/>
          <w:szCs w:val="24"/>
          <w:highlight w:val="none"/>
          <w14:textFill>
            <w14:solidFill>
              <w14:schemeClr w14:val="tx1"/>
            </w14:solidFill>
          </w14:textFill>
        </w:rPr>
        <w:t>、质疑</w:t>
      </w:r>
    </w:p>
    <w:p w14:paraId="4E4895D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质疑的接收和处理参照《中华人民共和国政府采购法》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文件技术条款和专业商务条件的质疑由采购人进行回复，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成交结果提出的质疑由代理机构进行回复。</w:t>
      </w:r>
      <w:bookmarkStart w:id="20" w:name="_Hlk517962386"/>
      <w:r>
        <w:rPr>
          <w:rFonts w:hint="eastAsia" w:ascii="仿宋" w:hAnsi="仿宋" w:eastAsia="仿宋" w:cs="仿宋"/>
          <w:color w:val="000000" w:themeColor="text1"/>
          <w:kern w:val="1"/>
          <w:sz w:val="24"/>
          <w:szCs w:val="24"/>
          <w:highlight w:val="none"/>
          <w14:textFill>
            <w14:solidFill>
              <w14:schemeClr w14:val="tx1"/>
            </w14:solidFill>
          </w14:textFill>
        </w:rPr>
        <w:t>供应商应在法定质疑期内一次性提出针对同一采购程序环节的质疑。</w:t>
      </w:r>
      <w:bookmarkEnd w:id="20"/>
    </w:p>
    <w:p w14:paraId="6421C4D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19</w:t>
      </w:r>
      <w:r>
        <w:rPr>
          <w:rFonts w:hint="eastAsia" w:ascii="仿宋" w:hAnsi="仿宋" w:eastAsia="仿宋" w:cs="仿宋"/>
          <w:b/>
          <w:color w:val="000000" w:themeColor="text1"/>
          <w:kern w:val="1"/>
          <w:sz w:val="24"/>
          <w:szCs w:val="24"/>
          <w:highlight w:val="none"/>
          <w14:textFill>
            <w14:solidFill>
              <w14:schemeClr w14:val="tx1"/>
            </w14:solidFill>
          </w14:textFill>
        </w:rPr>
        <w:t>、其他</w:t>
      </w:r>
    </w:p>
    <w:p w14:paraId="10B7277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footerReference r:id="rId7" w:type="default"/>
          <w:pgSz w:w="11906" w:h="16838"/>
          <w:pgMar w:top="1440" w:right="1701" w:bottom="1440" w:left="1701" w:header="851" w:footer="992" w:gutter="0"/>
          <w:pgNumType w:start="1" w:chapStyle="1"/>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文件中所引相关法律制度规定，在采购中有变化的，按照变化后的相关法律制度规定执行。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文件规定的其他内容条款，在本项目递交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响应文件截止之日起，因相关法律制度规定的变化导致不符合相关法律制度规定的，直接按照变化后的相关法律制度规定执行，本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文件不再做调整。</w:t>
      </w:r>
    </w:p>
    <w:p w14:paraId="7FF36D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1" w:name="_Toc180954106"/>
      <w:bookmarkStart w:id="22" w:name="_Toc27001"/>
      <w:bookmarkStart w:id="23" w:name="_Toc180954076"/>
      <w:r>
        <w:rPr>
          <w:rFonts w:hint="eastAsia" w:ascii="仿宋" w:hAnsi="仿宋" w:eastAsia="仿宋" w:cs="仿宋"/>
          <w:color w:val="000000" w:themeColor="text1"/>
          <w:highlight w:val="none"/>
          <w14:textFill>
            <w14:solidFill>
              <w14:schemeClr w14:val="tx1"/>
            </w14:solidFill>
          </w14:textFill>
        </w:rPr>
        <w:t>第三章 项目技术、服务、采购合同内容条款及其他商务要求</w:t>
      </w:r>
      <w:bookmarkEnd w:id="21"/>
      <w:bookmarkEnd w:id="22"/>
      <w:bookmarkEnd w:id="23"/>
    </w:p>
    <w:p w14:paraId="36493C48">
      <w:pPr>
        <w:pageBreakBefore w:val="0"/>
        <w:widowControl/>
        <w:kinsoku/>
        <w:wordWrap w:val="0"/>
        <w:overflowPunct/>
        <w:topLinePunct w:val="0"/>
        <w:bidi w:val="0"/>
        <w:spacing w:line="360" w:lineRule="auto"/>
        <w:ind w:firstLine="442" w:firstLineChars="200"/>
        <w:jc w:val="lef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前提：本章中标注“★”的条款为本项目的实质性要求，</w:t>
      </w:r>
      <w:r>
        <w:rPr>
          <w:rFonts w:hint="eastAsia" w:ascii="仿宋" w:hAnsi="仿宋" w:eastAsia="仿宋" w:cs="仿宋"/>
          <w:b/>
          <w:bCs/>
          <w:sz w:val="22"/>
          <w:szCs w:val="22"/>
          <w:highlight w:val="none"/>
          <w:lang w:eastAsia="zh-CN"/>
        </w:rPr>
        <w:t>供应商</w:t>
      </w:r>
      <w:r>
        <w:rPr>
          <w:rFonts w:hint="eastAsia" w:ascii="仿宋" w:hAnsi="仿宋" w:eastAsia="仿宋" w:cs="仿宋"/>
          <w:b/>
          <w:bCs/>
          <w:sz w:val="22"/>
          <w:szCs w:val="22"/>
          <w:highlight w:val="none"/>
        </w:rPr>
        <w:t>应完全满足，未响应或不满足按无效投标处理。</w:t>
      </w:r>
    </w:p>
    <w:p w14:paraId="2CB5C8F8">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5EBFEF69">
      <w:pPr>
        <w:pageBreakBefore w:val="0"/>
        <w:widowControl/>
        <w:kinsoku/>
        <w:wordWrap w:val="0"/>
        <w:overflowPunct/>
        <w:topLinePunct w:val="0"/>
        <w:bidi w:val="0"/>
        <w:spacing w:line="360" w:lineRule="auto"/>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1.项目概况：国家成都农业科技中心</w:t>
      </w:r>
      <w:r>
        <w:rPr>
          <w:rFonts w:hint="eastAsia" w:ascii="仿宋" w:hAnsi="仿宋" w:eastAsia="仿宋" w:cs="仿宋"/>
          <w:color w:val="000000" w:themeColor="text1"/>
          <w:sz w:val="24"/>
          <w:highlight w:val="none"/>
          <w:lang w:val="en-US" w:eastAsia="zh-CN"/>
          <w14:textFill>
            <w14:solidFill>
              <w14:schemeClr w14:val="tx1"/>
            </w14:solidFill>
          </w14:textFill>
        </w:rPr>
        <w:t>总建筑面积为10万㎡，分4个地块16栋建筑，共31台电梯，目前启用27台，为2-12层多层站通力电梯。</w:t>
      </w:r>
    </w:p>
    <w:p w14:paraId="2129FFC6">
      <w:pPr>
        <w:pageBreakBefore w:val="0"/>
        <w:widowControl/>
        <w:kinsoku/>
        <w:wordWrap w:val="0"/>
        <w:overflowPunct/>
        <w:topLinePunct w:val="0"/>
        <w:bidi w:val="0"/>
        <w:spacing w:line="360" w:lineRule="auto"/>
        <w:ind w:firstLine="480" w:firstLineChars="200"/>
        <w:jc w:val="left"/>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2.本项目承包方式为：半包。</w:t>
      </w:r>
    </w:p>
    <w:p w14:paraId="242FEE96">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二、技术、服务要求</w:t>
      </w:r>
    </w:p>
    <w:p w14:paraId="69993026">
      <w:pPr>
        <w:pStyle w:val="381"/>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b/>
          <w:bCs w:val="0"/>
          <w:color w:val="auto"/>
          <w:kern w:val="2"/>
          <w:sz w:val="24"/>
          <w:szCs w:val="24"/>
          <w:highlight w:val="none"/>
          <w:shd w:val="clear" w:color="auto" w:fill="auto"/>
          <w:lang w:val="en-US" w:eastAsia="zh-CN" w:bidi="ar-SA"/>
        </w:rPr>
        <w:t>（一）</w:t>
      </w:r>
      <w:r>
        <w:rPr>
          <w:rFonts w:hint="eastAsia" w:ascii="仿宋" w:hAnsi="仿宋" w:eastAsia="仿宋" w:cs="仿宋"/>
          <w:b/>
          <w:bCs/>
          <w:color w:val="000000" w:themeColor="text1"/>
          <w:sz w:val="24"/>
          <w:szCs w:val="22"/>
          <w:highlight w:val="none"/>
          <w:lang w:val="en-US" w:eastAsia="zh-CN" w:bidi="ar-SA"/>
          <w14:textFill>
            <w14:solidFill>
              <w14:schemeClr w14:val="tx1"/>
            </w14:solidFill>
          </w14:textFill>
        </w:rPr>
        <w:t>曳引驱动电梯维保服务等级内容及要求</w:t>
      </w:r>
    </w:p>
    <w:tbl>
      <w:tblPr>
        <w:tblStyle w:val="8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7"/>
        <w:gridCol w:w="2656"/>
        <w:gridCol w:w="1043"/>
        <w:gridCol w:w="2511"/>
        <w:gridCol w:w="883"/>
      </w:tblGrid>
      <w:tr w14:paraId="7B4C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9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维保项目</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FA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重要项</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76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1D12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B8AE">
            <w:pPr>
              <w:jc w:val="center"/>
              <w:rPr>
                <w:rFonts w:hint="eastAsia" w:ascii="仿宋" w:hAnsi="仿宋" w:eastAsia="仿宋" w:cs="仿宋"/>
                <w:i w:val="0"/>
                <w:iCs w:val="0"/>
                <w:color w:val="000000"/>
                <w:sz w:val="20"/>
                <w:szCs w:val="20"/>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C6AA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1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维保要求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5A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频次</w:t>
            </w:r>
          </w:p>
        </w:tc>
      </w:tr>
      <w:tr w14:paraId="47DB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853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1.设备机房</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54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 机房、滑轮间环境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F6E01">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AB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清洁，门窗完好，照明正常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D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20AA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F967">
            <w:pPr>
              <w:jc w:val="left"/>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96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机房及设备间温度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FBA4">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EC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C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3DFE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FB73">
            <w:pPr>
              <w:jc w:val="left"/>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E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 机房通道、插座、地面、开口</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EB5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05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3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88D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6D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2.驱动设备</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49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手动紧急操作装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115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B8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齐全，在指定位置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C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3B51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89A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A1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 驱动主机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9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07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运行时无异常振动和异常声响</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2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A99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9CC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8E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 减速机润滑油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74C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50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油量适宜，除蜗杆伸出端外均无渗漏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A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CD8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463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44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 减速机润滑油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176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9B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按照制造单位要求适时更换，保证油质符合要求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D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6B7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A13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F1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 电动机与减速机 联轴</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2DE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7F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连接无松动，弹性元件外观良好，无老化等现象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4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EB7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0C8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52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曳引轮槽、悬挂装置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C3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85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清洁，钢丝绳无严重油腻，张力均匀，符合制造单位要求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9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2C16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F00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53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 驱动轮、导向轮轴承</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69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96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无异常声响，无振动，润滑良好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5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65FA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977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CB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 紧急停止开关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7EB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62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BF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C29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EA1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BB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 制动衬</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4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F4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195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29CF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669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07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 制动器各销轴部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3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00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动作灵活</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1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0A4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3E4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62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2.10制动器铁芯(柱塞)</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D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2D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进行清洁、润滑、检查，磨损量不超过制造单位要求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D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7A00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D95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1E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2.11制动器动作状态监测装置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E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1C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工作正常，制动器动作可靠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B5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0CC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1CE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BF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 制动器间隙</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7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35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打开时制动衬与制动轮不应发生摩擦，间隙值符合制造单位要求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2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F83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5A3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41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  制动器作为轿厢意外移动保护装置制停子系统</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28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15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制动力人工方式检测符合使用维护说明书要求，制动力自监测系统有记录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A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23CF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3CD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41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2.15编码器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A24F">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E2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清洁，安装牢固，工作正常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C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179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F9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电气控制</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B6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主电源开关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4C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B9E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C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E52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AC5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2A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 紧急电动运行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D7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99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8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B6E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677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B1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 层门和轿门旁路装置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7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73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8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CFC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8AEF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4A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3.4控制柜内各接线端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4CD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39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各接线紧固、整齐，线号齐全清晰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5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FEB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C118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8F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 控制柜各仪表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840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D6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显示正常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F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9D9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517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C2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 控制柜接触器、继电</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9A2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A5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接触良好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4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40F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984DA">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73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 停电应急装置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C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35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8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2852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5DC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97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 对讲装置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8CD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44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1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A36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12F9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F5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 物联网系统</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C50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F6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A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305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48A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E3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3.10导电回路绝缘性 能测试</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846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FC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符合标准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7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55C7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567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CC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3.11上行超速保护</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58E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55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07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4BE6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CF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4.选层器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A8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 选层器动静触点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81AE">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83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清洁，无烧蚀</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1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47F0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432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F4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 选层器各接线端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E10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E4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AF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477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F15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2C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 选层器钢带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AF7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9E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1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1D6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35C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5.限速器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10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5.1限速器轮槽与钢丝</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C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4A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清洁，无严重油腻</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E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2DD8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4C6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B0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 限速器钢丝绳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E91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B5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磨损量、断丝数不超过制造单位要求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A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CEE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2A3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0A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 限速器各销轴部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12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A7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润滑，转动灵活；电气开关正常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D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7D68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EFE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56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 限速器安全钳联</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0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2E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7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6C7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53CFC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6.导轨、导靴</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26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 轿厢和对重/平衡重的导轨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0D5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E6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清洁，压板牢固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B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09E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2BE17B7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35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 轿厢和对重/平衡重的导轨支架</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F66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6E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F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865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46B871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E3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 靴衬、滚轮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D54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5D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靴衬、滚轮清洁，磨损量不超过制造单位要求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7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330F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95DE43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C1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 靴衬、滚轮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5DF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BD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CB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7D4B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887CB5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C3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 导靴上油杯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2C5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E2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油杯吸油毛毡齐全，油量适宜，油杯无泄漏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A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3EFA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D4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 井道端站开关</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B0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 上、下限位开关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28B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76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E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F1E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267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CF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 上、下强换速开 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727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1C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1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7B8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93F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B5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 上、下极限开关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2B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F6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3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851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6B3ACE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8.轿厢</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8E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  轿顶</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63CF">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01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清洁，防护栏安全可靠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8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72B7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6E24557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D5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 井道照明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9F2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3A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E2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F5D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162821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75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 轿顶、轿厢架、轿门及附件安装螺栓</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D0F1">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4B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15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57E1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7D2C79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0B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 轿顶轮挡绳装置及防护罩</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34D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9B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B5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2911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9B3D8D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6C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 轿底各安装螺栓</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85E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F0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E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26D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735345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F0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 轿厢照明、风扇应急照明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5FB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77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9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CD6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61C3995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EC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 轿厢内检修开关停止装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18D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B2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F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67D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E2B47D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07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 轿内报警、对讲装置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32CE">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FB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4D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F04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59E6FBF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82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 轿内显示、指令按钮、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D9C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8C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0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B92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26216FCF">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20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8.10  轿厢称重装置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5C9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28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准确有效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A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3F0D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CC9486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E9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8.11  安全钳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AE0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82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1F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F76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DB0410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E4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  轿厢平层准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9FA4">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A8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符合标准值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7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6D6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530D45F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28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8.13  轿顶照明、插座</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8C5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7E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F4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3836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5E61050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75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  轿顶检修开关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1E9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30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3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86C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2523F7E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C8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  轿厢运行噪声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47E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6D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D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11BA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04B0A46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B1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  轿厢运行舒适</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E22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50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E28">
            <w:pPr>
              <w:jc w:val="center"/>
              <w:rPr>
                <w:rFonts w:hint="eastAsia" w:ascii="仿宋" w:hAnsi="仿宋" w:eastAsia="仿宋" w:cs="仿宋"/>
                <w:i w:val="0"/>
                <w:iCs w:val="0"/>
                <w:color w:val="000000"/>
                <w:sz w:val="20"/>
                <w:szCs w:val="20"/>
                <w:u w:val="none"/>
              </w:rPr>
            </w:pPr>
          </w:p>
        </w:tc>
      </w:tr>
      <w:tr w14:paraId="12C2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E3389E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F6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8.17  轿厢意外移动保护装置动作试验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CC2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4D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9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D17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508D72D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B5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  超载功能</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EA5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03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B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23A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5235C48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F6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8.19 空载曳引力试 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0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41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4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0A5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6A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9.轿门、层门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5A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 轿门防撞击保护装置（安全触板 、光 幕 、光）</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EC8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5A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2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7941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EE0A">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8D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 轿门门锁电气触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3C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87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清洁，触点接触良好，接线可靠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D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F3A3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A3B4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8B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 轿门开门限制装置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9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3A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0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0250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CA2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46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  门刀装置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C8C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89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BB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00D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5B0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CA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 轿门运行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01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F9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开启和关闭工作正常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5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BC5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782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25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 验证轿门关闭的</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FE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0D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49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9C4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3103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72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 层门装置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A64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54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无影响正常使用的变形，各安装螺栓紧固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1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4BC6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9C8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DCA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 地坎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3BC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23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清洁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D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91F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362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35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 层门自动关门装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7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59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F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DA3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391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8D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  层门门锁自动复位</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9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60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用层门钥匙打开手动开锁装置释放后，层门门锁能自动复位</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E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793D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7AF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60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  层门门锁电</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C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13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清洁，触点接触良好，接线可靠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73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2D33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ED3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79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  层门锁紧元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9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F2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不小于 7mm</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F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6EE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CD5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74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9.13  层门门导靴</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49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41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4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3D82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132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56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 14 层门轿门门扇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7701">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B5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门扇各相关间隙符合标准值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AC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5A7E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8EF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EA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9.15 层门轿门系统中传动钢丝绳、链条、传动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8E5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02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按照制造单位要求进行清洁、调整</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7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162D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E06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0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9.16 紧急开锁装置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46D1">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95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B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32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41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10.对重</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DB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 对重/平衡重块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F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96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对重/平衡重块无松动，压板紧固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2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6C1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35F64B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11.轮</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A6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 井道对重、轿顶各反 绳轮轴承部件</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ED0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9B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无异常声响，无振动，润滑良好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9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7177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25982D7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7D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 对重轮挡绳装置及防护罩</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CF9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22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C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2FD7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31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12.悬挂、补偿设备</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65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 悬挂钢丝绳、补偿绳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1C1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34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损量、断丝数不超过要求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8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81B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36C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53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 补偿链</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140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64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A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24F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B9D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83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 绳头组合</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C98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6E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螺母无松动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B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E6B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A9FF">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1A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 补偿链( 绳) 与轿厢、对重接合处</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A03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0C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3A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079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CE6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 电缆</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4E4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 随行电缆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D0F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9B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无损伤</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E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B1D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97D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EA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 井道电缆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EA4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FB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E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716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6D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14.井道底坑</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EB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 底坑停止装置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EDE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0B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0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DE5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0FE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8B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 涨紧轮装置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1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53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2A2F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69A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75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 缓冲器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D3D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66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E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5D05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C38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B9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 耗能性缓冲器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3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0C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电气安全装置功能有效，油量适宜，柱塞无锈蚀</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1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1E9C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F6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层 门 外 操作、显示</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71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 消防开关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67E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4B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工作正常，功能有效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4F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4DA0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A82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A1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 层门外到站提示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23F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31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F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957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64E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56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 层站召唤，楼层显示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B94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9A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A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bl>
    <w:p w14:paraId="23908F3E">
      <w:pPr>
        <w:pStyle w:val="381"/>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themeColor="text1"/>
          <w:sz w:val="24"/>
          <w:szCs w:val="22"/>
          <w:highlight w:val="none"/>
          <w:lang w:val="en-US" w:eastAsia="zh-CN" w:bidi="ar-SA"/>
          <w14:textFill>
            <w14:solidFill>
              <w14:schemeClr w14:val="tx1"/>
            </w14:solidFill>
          </w14:textFill>
        </w:rPr>
      </w:pPr>
    </w:p>
    <w:p w14:paraId="3CEE4E50">
      <w:pPr>
        <w:pStyle w:val="381"/>
        <w:keepNext w:val="0"/>
        <w:keepLines w:val="0"/>
        <w:pageBreakBefore w:val="0"/>
        <w:numPr>
          <w:ilvl w:val="0"/>
          <w:numId w:val="0"/>
        </w:numPr>
        <w:kinsoku/>
        <w:wordWrap w:val="0"/>
        <w:overflowPunct/>
        <w:topLinePunct w:val="0"/>
        <w:autoSpaceDE/>
        <w:autoSpaceDN/>
        <w:bidi w:val="0"/>
        <w:adjustRightInd/>
        <w:snapToGrid/>
        <w:spacing w:line="360" w:lineRule="auto"/>
        <w:ind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（二）服务清单</w:t>
      </w:r>
    </w:p>
    <w:tbl>
      <w:tblPr>
        <w:tblStyle w:val="8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2175"/>
        <w:gridCol w:w="1369"/>
        <w:gridCol w:w="854"/>
        <w:gridCol w:w="1830"/>
        <w:gridCol w:w="1811"/>
      </w:tblGrid>
      <w:tr w14:paraId="3432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8517">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6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设备名称</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2E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设备号码</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83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楼层数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A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合同开始日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5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合同结束日</w:t>
            </w:r>
          </w:p>
        </w:tc>
      </w:tr>
      <w:tr w14:paraId="1317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3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7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DT8（农科3号楼）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8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0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F3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B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1A16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5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F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DT9（农科3号楼）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E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9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9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5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4147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0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7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DT13（农科6号楼）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8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F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44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2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3CA9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8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2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DT15（农科6号楼）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00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88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16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F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16A0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D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0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DT18（农科8号楼）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8F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8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C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8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32B3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6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FE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DT23（农科9号楼）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60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E6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7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E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213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5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3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DT24（农科9号楼）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0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9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8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A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0B41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82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4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DT4（农科2号楼）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B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0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4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FD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30E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2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E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DT7（农科2号楼）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6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C8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B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CA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0F15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4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0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DT20（农科9号楼）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E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38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EE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6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5B8E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4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E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DT11（农科7号楼）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7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C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8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3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1726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3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E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DT12（农科7号楼）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B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A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2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A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58CF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7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4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DT16（农科10号楼）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4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6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5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6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0CD6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E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5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DT17（农科10号楼）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5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9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2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9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A29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A7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5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DT19（农科8号楼）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C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3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C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E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5A95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C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5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DT3（农科1号楼）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E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0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2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2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529C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D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9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DT14（农科6号楼）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7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E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9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A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060C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18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F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DT21（农科9号楼）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F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F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D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5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71E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4A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1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DT22（农科9号楼）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E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4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D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8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43E3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71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37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DT1（农科1号楼）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5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5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14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4DB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E7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C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DT10（农科7号楼）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C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D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5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2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0FCA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13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9D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DT2（农科1号楼）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3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B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2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31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6EAD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8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D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DT5（农科2号楼）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F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2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B2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2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1B8F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F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77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DT6（农科2号楼）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5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2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EA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5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2267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0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2B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DT31（农科11号楼）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A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1136963737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4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B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6B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7D89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8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C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DT32（农科11号楼）</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0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1136963739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E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F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E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r w14:paraId="53E8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DT33（农科11号楼）货梯</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40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1136963741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C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2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2025年8月16日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7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2026年8月15日</w:t>
            </w:r>
          </w:p>
        </w:tc>
      </w:tr>
    </w:tbl>
    <w:p w14:paraId="26BE8A04">
      <w:pPr>
        <w:pStyle w:val="381"/>
        <w:keepNext w:val="0"/>
        <w:keepLines w:val="0"/>
        <w:pageBreakBefore w:val="0"/>
        <w:numPr>
          <w:ilvl w:val="0"/>
          <w:numId w:val="0"/>
        </w:numPr>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p>
    <w:p w14:paraId="5F155FDE">
      <w:pPr>
        <w:pStyle w:val="381"/>
        <w:keepNext w:val="0"/>
        <w:keepLines w:val="0"/>
        <w:pageBreakBefore w:val="0"/>
        <w:numPr>
          <w:ilvl w:val="0"/>
          <w:numId w:val="0"/>
        </w:numPr>
        <w:kinsoku/>
        <w:wordWrap w:val="0"/>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（三）技术服务要求</w:t>
      </w:r>
    </w:p>
    <w:p w14:paraId="05764948">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1.1 根据国家、行业有关规定和规范，建立健全电梯管理制度，并认真执行。建立电梯运行管理、设备维护、安全管理等制度，做好一梯一档的档案管理。</w:t>
      </w:r>
    </w:p>
    <w:p w14:paraId="006C8A71">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80" w:firstLineChars="20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1.2 严格执行国家有关电梯管理规定和安全规程，做到电梯准用证、年检合格证、维保合同完备。</w:t>
      </w:r>
    </w:p>
    <w:p w14:paraId="5B20542C">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80" w:firstLineChars="20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1.3 若发生下列情况，结算时扣除全部设备维保服务费的 5%（每发生一次扣 5%）：</w:t>
      </w:r>
    </w:p>
    <w:p w14:paraId="5D5E69FC">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80" w:firstLineChars="20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1.3.1 未完成保养任务；</w:t>
      </w:r>
    </w:p>
    <w:p w14:paraId="61729767">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right="0" w:firstLine="480" w:firstLineChars="20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1.3.2 电梯故障，未按要求的时间内到达现场；</w:t>
      </w:r>
    </w:p>
    <w:p w14:paraId="40C416F7">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68" w:firstLineChars="20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1.3.3</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电梯非正常运行或因故障连续停止 1 天以上。</w:t>
      </w:r>
    </w:p>
    <w:p w14:paraId="75622F82">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1.4</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在服务期间内负责电梯软件升级和调试工作。</w:t>
      </w:r>
    </w:p>
    <w:p w14:paraId="2048CAA6">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维保人员保险等一切其他费用由成交供应商自行负责购买，我</w:t>
      </w:r>
      <w:r>
        <w:rPr>
          <w:rFonts w:hint="eastAsia" w:ascii="仿宋" w:hAnsi="仿宋" w:eastAsia="仿宋" w:cs="仿宋"/>
          <w:spacing w:val="-2"/>
          <w:sz w:val="24"/>
          <w:szCs w:val="24"/>
        </w:rPr>
        <w:t>单位不再支付除电梯维护保养费、限速器校验费、砝码租赁费</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电梯年检费</w:t>
      </w:r>
      <w:r>
        <w:rPr>
          <w:rFonts w:hint="eastAsia" w:ascii="仿宋" w:hAnsi="仿宋" w:eastAsia="仿宋" w:cs="仿宋"/>
          <w:spacing w:val="-2"/>
          <w:sz w:val="24"/>
          <w:szCs w:val="24"/>
        </w:rPr>
        <w:t>及</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300</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元以上</w:t>
      </w:r>
      <w:r>
        <w:rPr>
          <w:rFonts w:hint="eastAsia" w:ascii="仿宋" w:hAnsi="仿宋" w:eastAsia="仿宋" w:cs="仿宋"/>
          <w:spacing w:val="-3"/>
          <w:sz w:val="24"/>
          <w:szCs w:val="24"/>
        </w:rPr>
        <w:t>零部件费用以外的其他</w:t>
      </w:r>
      <w:r>
        <w:rPr>
          <w:rFonts w:hint="eastAsia" w:ascii="仿宋" w:hAnsi="仿宋" w:eastAsia="仿宋" w:cs="仿宋"/>
          <w:spacing w:val="-2"/>
          <w:sz w:val="24"/>
          <w:szCs w:val="24"/>
        </w:rPr>
        <w:t>任何费用。</w:t>
      </w:r>
    </w:p>
    <w:p w14:paraId="43779833">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1.6</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维保专业人员应取得经特种设备安全监督管理部门考核合格的</w:t>
      </w:r>
      <w:r>
        <w:rPr>
          <w:rFonts w:hint="eastAsia" w:ascii="仿宋" w:hAnsi="仿宋" w:eastAsia="仿宋" w:cs="仿宋"/>
          <w:spacing w:val="-2"/>
          <w:sz w:val="24"/>
          <w:szCs w:val="24"/>
        </w:rPr>
        <w:t>《特种设备作</w:t>
      </w:r>
      <w:r>
        <w:rPr>
          <w:rFonts w:hint="eastAsia" w:ascii="仿宋" w:hAnsi="仿宋" w:eastAsia="仿宋" w:cs="仿宋"/>
          <w:spacing w:val="-1"/>
          <w:sz w:val="24"/>
          <w:szCs w:val="24"/>
        </w:rPr>
        <w:t>业人员证》或《特种设备安全管理和作业人员证》。</w:t>
      </w:r>
    </w:p>
    <w:p w14:paraId="7F7C5441">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1.7</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维保现场文明、安全施工，现场树立公示公告牌、警示标志等</w:t>
      </w:r>
      <w:r>
        <w:rPr>
          <w:rFonts w:hint="eastAsia" w:ascii="仿宋" w:hAnsi="仿宋" w:eastAsia="仿宋" w:cs="仿宋"/>
          <w:spacing w:val="-2"/>
          <w:sz w:val="24"/>
          <w:szCs w:val="24"/>
        </w:rPr>
        <w:t>，维保人员必</w:t>
      </w:r>
      <w:r>
        <w:rPr>
          <w:rFonts w:hint="eastAsia" w:ascii="仿宋" w:hAnsi="仿宋" w:eastAsia="仿宋" w:cs="仿宋"/>
          <w:spacing w:val="-1"/>
          <w:sz w:val="24"/>
          <w:szCs w:val="24"/>
        </w:rPr>
        <w:t>须统一着装、佩戴工作牌。安全、人身伤害等事故和由此产生的</w:t>
      </w:r>
      <w:r>
        <w:rPr>
          <w:rFonts w:hint="eastAsia" w:ascii="仿宋" w:hAnsi="仿宋" w:eastAsia="仿宋" w:cs="仿宋"/>
          <w:spacing w:val="-2"/>
          <w:sz w:val="24"/>
          <w:szCs w:val="24"/>
        </w:rPr>
        <w:t>法律、经济责任概由</w:t>
      </w:r>
      <w:r>
        <w:rPr>
          <w:rFonts w:hint="eastAsia" w:ascii="仿宋" w:hAnsi="仿宋" w:eastAsia="仿宋" w:cs="仿宋"/>
          <w:spacing w:val="-1"/>
          <w:sz w:val="24"/>
          <w:szCs w:val="24"/>
        </w:rPr>
        <w:t>成交单位负责。给采购人、第三人造成人身、财产损害均由供应</w:t>
      </w:r>
      <w:r>
        <w:rPr>
          <w:rFonts w:hint="eastAsia" w:ascii="仿宋" w:hAnsi="仿宋" w:eastAsia="仿宋" w:cs="仿宋"/>
          <w:spacing w:val="-2"/>
          <w:sz w:val="24"/>
          <w:szCs w:val="24"/>
        </w:rPr>
        <w:t>商承担法律、经济赔</w:t>
      </w:r>
      <w:r>
        <w:rPr>
          <w:rFonts w:hint="eastAsia" w:ascii="仿宋" w:hAnsi="仿宋" w:eastAsia="仿宋" w:cs="仿宋"/>
          <w:spacing w:val="-3"/>
          <w:sz w:val="24"/>
          <w:szCs w:val="24"/>
        </w:rPr>
        <w:t>偿责任。</w:t>
      </w:r>
    </w:p>
    <w:p w14:paraId="5B295E1B">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1.8</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承担所维修电梯发生的非人为因素引起的一切事故责任。</w:t>
      </w:r>
    </w:p>
    <w:p w14:paraId="151DFDCF">
      <w:pPr>
        <w:pStyle w:val="30"/>
        <w:keepNext w:val="0"/>
        <w:keepLines w:val="0"/>
        <w:pageBreakBefore w:val="0"/>
        <w:widowControl w:val="0"/>
        <w:kinsoku/>
        <w:overflowPunct/>
        <w:topLinePunct w:val="0"/>
        <w:autoSpaceDE/>
        <w:autoSpaceDN/>
        <w:bidi w:val="0"/>
        <w:adjustRightInd/>
        <w:snapToGrid w:val="0"/>
        <w:spacing w:after="0" w:line="36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1.9</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维护保养的周期应根据电梯使用情况、工作环境而定，但只可</w:t>
      </w:r>
      <w:r>
        <w:rPr>
          <w:rFonts w:hint="eastAsia" w:ascii="仿宋" w:hAnsi="仿宋" w:eastAsia="仿宋" w:cs="仿宋"/>
          <w:spacing w:val="-2"/>
          <w:sz w:val="24"/>
          <w:szCs w:val="24"/>
        </w:rPr>
        <w:t>增加，不能减</w:t>
      </w:r>
      <w:r>
        <w:rPr>
          <w:rFonts w:hint="eastAsia" w:ascii="仿宋" w:hAnsi="仿宋" w:eastAsia="仿宋" w:cs="仿宋"/>
          <w:spacing w:val="-6"/>
          <w:sz w:val="24"/>
          <w:szCs w:val="24"/>
        </w:rPr>
        <w:t>少。</w:t>
      </w:r>
    </w:p>
    <w:p w14:paraId="77957741">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right="0" w:firstLine="47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pacing w:val="-2"/>
          <w:sz w:val="24"/>
          <w:szCs w:val="24"/>
        </w:rPr>
        <w:t>1.10</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成交供应商应向我单位提供安全及技术培训服务。</w:t>
      </w:r>
    </w:p>
    <w:p w14:paraId="49CD9C34">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3.供应商为本项目顺利实施需配置相关的专业机具、专业人员。</w:t>
      </w:r>
    </w:p>
    <w:p w14:paraId="29E39DF9">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4.工作期间，员工须遵守国家法律法规和工程的规章制度，切实履行相关的工作制度和职责。</w:t>
      </w:r>
    </w:p>
    <w:p w14:paraId="0FB3F2F5">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5.须按照国家要求负责为其员工缴纳各类社会保险费用，同时保证用工的合法性。</w:t>
      </w:r>
    </w:p>
    <w:p w14:paraId="6B5E8224">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6.对员工进行上岗培训、安全生产教育，经培训合格后方可上岗。对于国家具有强制要求的工种，拟上岗员工须具有相应资格和有效的资质证书。</w:t>
      </w:r>
    </w:p>
    <w:p w14:paraId="74DE47D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7.承担独立法人单位应该承担的全部责任，包括综合治理、刑事、民事、工伤、社保、员工劳保福利等一切责任。</w:t>
      </w:r>
    </w:p>
    <w:p w14:paraId="4115347E">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8.现场管理要求：①涉及技术变更及工程量增加需经采购人现场确认后方能实施②施工完成后需完成所有工程竣工资料后方能组织验收；③成交供应商如更换现场管理人员时，并经采购人同意方可更换。</w:t>
      </w:r>
    </w:p>
    <w:p w14:paraId="139E59D6">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9.到岗作业，不得影响园区的正常工作。供应商在每一施工日后须做好现场设备设施整理工作，预防安全隐患，有必要的情况下，设置警示牌等；采购人不得以任何理由推脱、推迟项目施工等。</w:t>
      </w:r>
    </w:p>
    <w:p w14:paraId="5042BE88">
      <w:pPr>
        <w:pageBreakBefore w:val="0"/>
        <w:widowControl/>
        <w:kinsoku/>
        <w:wordWrap w:val="0"/>
        <w:overflowPunct/>
        <w:topLinePunct w:val="0"/>
        <w:bidi w:val="0"/>
        <w:spacing w:line="360" w:lineRule="auto"/>
        <w:ind w:firstLine="480"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000000" w:themeColor="text1"/>
          <w:sz w:val="24"/>
          <w:highlight w:val="none"/>
          <w14:textFill>
            <w14:solidFill>
              <w14:schemeClr w14:val="tx1"/>
            </w14:solidFill>
          </w14:textFill>
        </w:rPr>
        <w:t>三、商务要求：</w:t>
      </w:r>
    </w:p>
    <w:p w14:paraId="0CF7A22D">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1.服务地点：采购人指定地点为国家成都农业科技中心园区（成都市天府新区蜡梓东街36号）。</w:t>
      </w:r>
    </w:p>
    <w:p w14:paraId="0A6A3F9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2.服务期限：2025年8月16日-2026年8月15日。</w:t>
      </w:r>
    </w:p>
    <w:p w14:paraId="1A254A10">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3.付款方式：</w:t>
      </w:r>
    </w:p>
    <w:p w14:paraId="2758DABE">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按合同总额，由我单位对成交供应商每季度的维保服务质量进行考核后，即一年内考核四次，按季度支付。</w:t>
      </w:r>
    </w:p>
    <w:p w14:paraId="7A5A609D">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过程中可能实质性变动的内容：</w:t>
      </w:r>
    </w:p>
    <w:p w14:paraId="296ED0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针对第三章、第九章所包含的技术、服务要求以及合同草案条款，在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小组在获得采购人代表确认的前提下，可以根据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情况实质性变动相关内容。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文件作出的实质性变动是</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文件的有效组成部分，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小组会及时以书面形式通知所有参加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w:t>
      </w:r>
    </w:p>
    <w:p w14:paraId="273E466C">
      <w:pPr>
        <w:pageBreakBefore w:val="0"/>
        <w:kinsoku/>
        <w:wordWrap w:val="0"/>
        <w:overflowPunct/>
        <w:topLinePunct w:val="0"/>
        <w:bidi w:val="0"/>
        <w:spacing w:line="360" w:lineRule="auto"/>
        <w:ind w:firstLine="420"/>
        <w:rPr>
          <w:rFonts w:ascii="仿宋" w:hAnsi="仿宋" w:eastAsia="仿宋" w:cs="仿宋"/>
          <w:b/>
          <w:color w:val="000000" w:themeColor="text1"/>
          <w:kern w:val="1"/>
          <w:sz w:val="24"/>
          <w:szCs w:val="24"/>
          <w:highlight w:val="none"/>
          <w14:textFill>
            <w14:solidFill>
              <w14:schemeClr w14:val="tx1"/>
            </w14:solidFill>
          </w14:textFill>
        </w:rPr>
        <w:sectPr>
          <w:pgSz w:w="11906" w:h="16838"/>
          <w:pgMar w:top="1440" w:right="1800" w:bottom="1440" w:left="1800" w:header="851" w:footer="992" w:gutter="0"/>
          <w:cols w:space="720" w:num="1"/>
        </w:sectPr>
      </w:pPr>
      <w:r>
        <w:rPr>
          <w:rFonts w:hint="eastAsia" w:ascii="仿宋" w:hAnsi="仿宋" w:eastAsia="仿宋" w:cs="仿宋"/>
          <w:b/>
          <w:color w:val="000000" w:themeColor="text1"/>
          <w:kern w:val="1"/>
          <w:sz w:val="24"/>
          <w:szCs w:val="24"/>
          <w:highlight w:val="none"/>
          <w14:textFill>
            <w14:solidFill>
              <w14:schemeClr w14:val="tx1"/>
            </w14:solidFill>
          </w14:textFill>
        </w:rPr>
        <w:t>五、其他未尽事宜，由采购人与成交供应商另行协商解决。</w:t>
      </w:r>
    </w:p>
    <w:p w14:paraId="22E6ED1A">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4" w:name="_Toc7689"/>
      <w:bookmarkStart w:id="25" w:name="_Toc180954077"/>
      <w:bookmarkStart w:id="26" w:name="_Toc180954107"/>
      <w:r>
        <w:rPr>
          <w:rFonts w:hint="eastAsia" w:ascii="仿宋" w:hAnsi="仿宋" w:eastAsia="仿宋" w:cs="仿宋"/>
          <w:color w:val="000000" w:themeColor="text1"/>
          <w:highlight w:val="none"/>
          <w14:textFill>
            <w14:solidFill>
              <w14:schemeClr w14:val="tx1"/>
            </w14:solidFill>
          </w14:textFill>
        </w:rPr>
        <w:t>第四章 供应商和供应商产品的资格、资质性及其他类似效力要求</w:t>
      </w:r>
      <w:bookmarkEnd w:id="24"/>
      <w:bookmarkEnd w:id="25"/>
      <w:bookmarkEnd w:id="26"/>
    </w:p>
    <w:p w14:paraId="79132E99">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27" w:name="_Toc16731"/>
      <w:bookmarkStart w:id="28" w:name="_Toc180954155"/>
      <w:bookmarkStart w:id="29" w:name="_Toc180954078"/>
      <w:bookmarkStart w:id="30" w:name="_Toc180954108"/>
      <w:r>
        <w:rPr>
          <w:rFonts w:hint="eastAsia" w:ascii="仿宋" w:hAnsi="仿宋" w:eastAsia="仿宋" w:cs="仿宋"/>
          <w:b/>
          <w:color w:val="000000" w:themeColor="text1"/>
          <w:kern w:val="1"/>
          <w:szCs w:val="30"/>
          <w:highlight w:val="none"/>
          <w14:textFill>
            <w14:solidFill>
              <w14:schemeClr w14:val="tx1"/>
            </w14:solidFill>
          </w14:textFill>
        </w:rPr>
        <w:t>一、供应商资格、资质性及其他类似效力要求。</w:t>
      </w:r>
      <w:bookmarkEnd w:id="27"/>
      <w:bookmarkEnd w:id="28"/>
      <w:bookmarkEnd w:id="29"/>
      <w:bookmarkEnd w:id="30"/>
    </w:p>
    <w:p w14:paraId="6DC3D57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38B5BF2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54C7245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4FBB438F">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5CB6FCD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15526F3B">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51CE5789">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3D485D3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40FE37F9">
      <w:pPr>
        <w:pageBreakBefore w:val="0"/>
        <w:kinsoku/>
        <w:wordWrap w:val="0"/>
        <w:overflowPunct/>
        <w:topLinePunct w:val="0"/>
        <w:bidi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r>
        <w:rPr>
          <w:rFonts w:hint="eastAsia" w:ascii="仿宋" w:hAnsi="仿宋" w:eastAsia="仿宋" w:cs="仿宋"/>
          <w:color w:val="000000" w:themeColor="text1"/>
          <w:sz w:val="24"/>
          <w:szCs w:val="24"/>
          <w:highlight w:val="none"/>
          <w14:textFill>
            <w14:solidFill>
              <w14:schemeClr w14:val="tx1"/>
            </w14:solidFill>
          </w14:textFill>
        </w:rPr>
        <w:t>。</w:t>
      </w:r>
    </w:p>
    <w:p w14:paraId="264CD014">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31" w:name="_Toc3919"/>
      <w:bookmarkStart w:id="32" w:name="_Toc180954109"/>
      <w:bookmarkStart w:id="33" w:name="_Toc180954156"/>
      <w:bookmarkStart w:id="34" w:name="_Toc180954079"/>
      <w:r>
        <w:rPr>
          <w:rFonts w:hint="eastAsia" w:ascii="仿宋" w:hAnsi="仿宋" w:eastAsia="仿宋" w:cs="仿宋"/>
          <w:b/>
          <w:color w:val="000000" w:themeColor="text1"/>
          <w:kern w:val="1"/>
          <w:szCs w:val="30"/>
          <w:highlight w:val="none"/>
          <w14:textFill>
            <w14:solidFill>
              <w14:schemeClr w14:val="tx1"/>
            </w14:solidFill>
          </w14:textFill>
        </w:rPr>
        <w:t>二、供应商产品的资格、资质性及其他类似效力要求。</w:t>
      </w:r>
      <w:bookmarkEnd w:id="31"/>
      <w:bookmarkEnd w:id="32"/>
      <w:bookmarkEnd w:id="33"/>
      <w:bookmarkEnd w:id="34"/>
    </w:p>
    <w:p w14:paraId="5FBC7682">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p w14:paraId="38A2ADEC">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注：</w:t>
      </w:r>
    </w:p>
    <w:p w14:paraId="7655765E">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1、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666977EF">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2、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3、供应商在参加采购活动前，被纳入法院、市场监管部门、税务部门、银行认定的失信名单且在有效期内，本项目不认定其具有良好的商业信誉。若提供虚假承诺将被视为虚假响应,取消成交资格。</w:t>
      </w:r>
    </w:p>
    <w:p w14:paraId="3D8477F1">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p>
    <w:p w14:paraId="3B2451A9">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sectPr>
          <w:pgSz w:w="11906" w:h="16838"/>
          <w:pgMar w:top="1440" w:right="1800" w:bottom="1440" w:left="1800" w:header="851" w:footer="992" w:gutter="0"/>
          <w:cols w:space="720" w:num="1"/>
        </w:sectPr>
      </w:pPr>
    </w:p>
    <w:p w14:paraId="2E1F728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35" w:name="_Toc180954080"/>
      <w:bookmarkStart w:id="36" w:name="_Toc19685"/>
      <w:bookmarkStart w:id="37" w:name="_Toc180954110"/>
      <w:r>
        <w:rPr>
          <w:rFonts w:hint="eastAsia" w:ascii="仿宋" w:hAnsi="仿宋" w:eastAsia="仿宋" w:cs="仿宋"/>
          <w:color w:val="000000" w:themeColor="text1"/>
          <w:highlight w:val="none"/>
          <w14:textFill>
            <w14:solidFill>
              <w14:schemeClr w14:val="tx1"/>
            </w14:solidFill>
          </w14:textFill>
        </w:rPr>
        <w:t>第五章 供应商应当提供的资格、资质性及其他类似效力要求的相关证明材料</w:t>
      </w:r>
      <w:bookmarkEnd w:id="35"/>
      <w:bookmarkEnd w:id="36"/>
      <w:bookmarkEnd w:id="37"/>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76"/>
        <w:gridCol w:w="5636"/>
      </w:tblGrid>
      <w:tr w14:paraId="65E0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02EDE551">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76" w:type="dxa"/>
            <w:vAlign w:val="center"/>
          </w:tcPr>
          <w:p w14:paraId="6318DDDC">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本项目的资格要求</w:t>
            </w:r>
          </w:p>
        </w:tc>
        <w:tc>
          <w:tcPr>
            <w:tcW w:w="5636" w:type="dxa"/>
            <w:vAlign w:val="center"/>
          </w:tcPr>
          <w:p w14:paraId="13210F47">
            <w:pPr>
              <w:pageBreakBefore w:val="0"/>
              <w:kinsoku/>
              <w:wordWrap w:val="0"/>
              <w:overflowPunct/>
              <w:topLinePunct w:val="0"/>
              <w:bidi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供应商应当提供的资格证明材料</w:t>
            </w:r>
          </w:p>
        </w:tc>
      </w:tr>
      <w:tr w14:paraId="190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jc w:val="center"/>
        </w:trPr>
        <w:tc>
          <w:tcPr>
            <w:tcW w:w="710" w:type="dxa"/>
            <w:vAlign w:val="center"/>
          </w:tcPr>
          <w:p w14:paraId="0A8E151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p>
        </w:tc>
        <w:tc>
          <w:tcPr>
            <w:tcW w:w="2176" w:type="dxa"/>
            <w:vAlign w:val="center"/>
          </w:tcPr>
          <w:p w14:paraId="3DF0C1F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具有独立承担民事责任的能力</w:t>
            </w:r>
          </w:p>
        </w:tc>
        <w:tc>
          <w:tcPr>
            <w:tcW w:w="5636" w:type="dxa"/>
            <w:vAlign w:val="center"/>
          </w:tcPr>
          <w:p w14:paraId="4B151FF8">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（1）供应商若为企业法人：提供“统一社会信用代码营业执照”；未换证的提供“营业执照、税务登记证、组织机构代码证或三证合一的营业执照”；</w:t>
            </w:r>
          </w:p>
          <w:p w14:paraId="10DF8357">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（2）若为事业法人：提供“统一社会信用代码法人登记证书”；未换证的提交“事业法人登记证书、组织机构代码证”</w:t>
            </w:r>
          </w:p>
          <w:p w14:paraId="12746D12">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（3）若为其他组织：提供“对应主管部门颁发的准许执业证明文件或营业执照”；</w:t>
            </w:r>
          </w:p>
          <w:p w14:paraId="4066909F">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（4）若为自然人：提供“身份证明材料”</w:t>
            </w:r>
          </w:p>
          <w:p w14:paraId="55F20DD9">
            <w:pPr>
              <w:pageBreakBefore w:val="0"/>
              <w:kinsoku/>
              <w:wordWrap w:val="0"/>
              <w:overflowPunct/>
              <w:topLinePunct w:val="0"/>
              <w:bidi w:val="0"/>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参加采购活动的代表为法定代表人/单位负责人，应提供法定代表人/单位负责人身份证明材料复印件；②</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参加采购活动的代表为非法定代表人/单位负责人，应提供法定代表人/单位负责人授权书。</w:t>
            </w:r>
          </w:p>
        </w:tc>
      </w:tr>
      <w:tr w14:paraId="240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jc w:val="center"/>
        </w:trPr>
        <w:tc>
          <w:tcPr>
            <w:tcW w:w="710" w:type="dxa"/>
            <w:vAlign w:val="center"/>
          </w:tcPr>
          <w:p w14:paraId="6A558A74">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p>
        </w:tc>
        <w:tc>
          <w:tcPr>
            <w:tcW w:w="2176" w:type="dxa"/>
            <w:vAlign w:val="center"/>
          </w:tcPr>
          <w:p w14:paraId="210AF800">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具有健全的财务会计制度</w:t>
            </w:r>
          </w:p>
        </w:tc>
        <w:tc>
          <w:tcPr>
            <w:tcW w:w="5636" w:type="dxa"/>
            <w:vAlign w:val="center"/>
          </w:tcPr>
          <w:p w14:paraId="338F603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根据自身情况选择提供其中任意一项：（1）可提供2022年度以来任意年度经审计的财务报告复印件（包含审计报告和审计报告中所涉及的财务报表和报表附注）；（2）也可提供2022年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1411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9692336">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p>
        </w:tc>
        <w:tc>
          <w:tcPr>
            <w:tcW w:w="2176" w:type="dxa"/>
            <w:vAlign w:val="center"/>
          </w:tcPr>
          <w:p w14:paraId="769DF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具有良好的商业信誉</w:t>
            </w:r>
          </w:p>
        </w:tc>
        <w:tc>
          <w:tcPr>
            <w:tcW w:w="5636" w:type="dxa"/>
            <w:vMerge w:val="restart"/>
            <w:vAlign w:val="center"/>
          </w:tcPr>
          <w:p w14:paraId="2F027FC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4AC2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C643E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p>
        </w:tc>
        <w:tc>
          <w:tcPr>
            <w:tcW w:w="2176" w:type="dxa"/>
            <w:vAlign w:val="center"/>
          </w:tcPr>
          <w:p w14:paraId="505F09BA">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具备履行合同所必需的设备和专业技术能力</w:t>
            </w:r>
          </w:p>
        </w:tc>
        <w:tc>
          <w:tcPr>
            <w:tcW w:w="5636" w:type="dxa"/>
            <w:vMerge w:val="continue"/>
            <w:vAlign w:val="center"/>
          </w:tcPr>
          <w:p w14:paraId="5C1F1551">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1A4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9D2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w:t>
            </w:r>
          </w:p>
        </w:tc>
        <w:tc>
          <w:tcPr>
            <w:tcW w:w="2176" w:type="dxa"/>
            <w:vAlign w:val="center"/>
          </w:tcPr>
          <w:p w14:paraId="73E6189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有依法缴纳税收和社会保障资金的良好记录</w:t>
            </w:r>
          </w:p>
        </w:tc>
        <w:tc>
          <w:tcPr>
            <w:tcW w:w="5636" w:type="dxa"/>
            <w:vMerge w:val="continue"/>
            <w:vAlign w:val="center"/>
          </w:tcPr>
          <w:p w14:paraId="5A3F849F">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B5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A36AC83">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w:t>
            </w:r>
          </w:p>
        </w:tc>
        <w:tc>
          <w:tcPr>
            <w:tcW w:w="2176" w:type="dxa"/>
            <w:vAlign w:val="center"/>
          </w:tcPr>
          <w:p w14:paraId="032AB7A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参加采购活动前3年内在经营活动中没有重大违法记录</w:t>
            </w:r>
          </w:p>
        </w:tc>
        <w:tc>
          <w:tcPr>
            <w:tcW w:w="5636" w:type="dxa"/>
            <w:vMerge w:val="continue"/>
            <w:vAlign w:val="center"/>
          </w:tcPr>
          <w:p w14:paraId="0166323E">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2D2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5534AB7">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w:t>
            </w:r>
          </w:p>
        </w:tc>
        <w:tc>
          <w:tcPr>
            <w:tcW w:w="2176" w:type="dxa"/>
            <w:vAlign w:val="center"/>
          </w:tcPr>
          <w:p w14:paraId="5E86663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符合法律、行政法规规定的其他条件</w:t>
            </w:r>
          </w:p>
        </w:tc>
        <w:tc>
          <w:tcPr>
            <w:tcW w:w="5636" w:type="dxa"/>
            <w:vMerge w:val="continue"/>
            <w:vAlign w:val="center"/>
          </w:tcPr>
          <w:p w14:paraId="770A429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488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B30772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w:t>
            </w:r>
          </w:p>
        </w:tc>
        <w:tc>
          <w:tcPr>
            <w:tcW w:w="2176" w:type="dxa"/>
            <w:vAlign w:val="center"/>
          </w:tcPr>
          <w:p w14:paraId="2A5FDBF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本项目参加采购活动的供应商、法定代表人、主要负责人近三年内不得具有行贿犯罪记录</w:t>
            </w:r>
          </w:p>
        </w:tc>
        <w:tc>
          <w:tcPr>
            <w:tcW w:w="5636" w:type="dxa"/>
            <w:vMerge w:val="continue"/>
            <w:vAlign w:val="center"/>
          </w:tcPr>
          <w:p w14:paraId="6EE18333">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EB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256E42">
            <w:pPr>
              <w:pageBreakBefore w:val="0"/>
              <w:kinsoku/>
              <w:wordWrap w:val="0"/>
              <w:overflowPunct/>
              <w:topLinePunct w:val="0"/>
              <w:bidi w:val="0"/>
              <w:spacing w:line="360" w:lineRule="auto"/>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p>
        </w:tc>
        <w:tc>
          <w:tcPr>
            <w:tcW w:w="2176" w:type="dxa"/>
            <w:vAlign w:val="center"/>
          </w:tcPr>
          <w:p w14:paraId="36F2E4F7">
            <w:pPr>
              <w:pageBreakBefore w:val="0"/>
              <w:kinsoku/>
              <w:wordWrap w:val="0"/>
              <w:overflowPunct/>
              <w:topLinePunct w:val="0"/>
              <w:bidi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本项目的特定资格要求</w:t>
            </w:r>
          </w:p>
        </w:tc>
        <w:tc>
          <w:tcPr>
            <w:tcW w:w="5636" w:type="dxa"/>
            <w:vAlign w:val="center"/>
          </w:tcPr>
          <w:p w14:paraId="727AD13E">
            <w:pPr>
              <w:pageBreakBefore w:val="0"/>
              <w:kinsoku/>
              <w:wordWrap w:val="0"/>
              <w:overflowPunct/>
              <w:topLinePunct w:val="0"/>
              <w:bidi w:val="0"/>
              <w:adjustRightInd w:val="0"/>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无</w:t>
            </w:r>
          </w:p>
        </w:tc>
      </w:tr>
    </w:tbl>
    <w:p w14:paraId="0132CF05">
      <w:pPr>
        <w:pageBreakBefore w:val="0"/>
        <w:kinsoku/>
        <w:wordWrap w:val="0"/>
        <w:overflowPunct/>
        <w:topLinePunct w:val="0"/>
        <w:bidi w:val="0"/>
        <w:spacing w:line="360" w:lineRule="auto"/>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说明：</w:t>
      </w:r>
    </w:p>
    <w:p w14:paraId="37FBD52B">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1.确定参加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的供应商数量采用合格数量制，即</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小组对各供应商资格审查后，凡符合本</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文件规定资格条件的，均进入参加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的供应商名单；</w:t>
      </w:r>
    </w:p>
    <w:p w14:paraId="393CE9C0">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2.供应商提供的以上资格证明材料为复印件的均应加盖供应商公章；</w:t>
      </w:r>
    </w:p>
    <w:p w14:paraId="719C451C">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3.供应商应对其所提供的资格证明材料来源的合法性、真实性负责。</w:t>
      </w:r>
    </w:p>
    <w:p w14:paraId="1DCC8AD9">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4.本章要求按</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kern w:val="1"/>
          <w:szCs w:val="21"/>
          <w:highlight w:val="none"/>
          <w14:textFill>
            <w14:solidFill>
              <w14:schemeClr w14:val="tx1"/>
            </w14:solidFill>
          </w14:textFill>
        </w:rPr>
        <w:t>文件第七章格式1-3提供承诺函原件的条款只需提供一份涵盖所有内容的承诺函，不需多份提供。</w:t>
      </w:r>
    </w:p>
    <w:p w14:paraId="07D4CC6C">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8" w:name="_Toc28735"/>
      <w:bookmarkStart w:id="39" w:name="_Toc180954111"/>
      <w:bookmarkStart w:id="40" w:name="_Toc180954081"/>
      <w:r>
        <w:rPr>
          <w:rFonts w:hint="eastAsia" w:ascii="仿宋" w:hAnsi="仿宋" w:eastAsia="仿宋" w:cs="仿宋"/>
          <w:color w:val="000000" w:themeColor="text1"/>
          <w:highlight w:val="none"/>
          <w14:textFill>
            <w14:solidFill>
              <w14:schemeClr w14:val="tx1"/>
            </w14:solidFill>
          </w14:textFill>
        </w:rPr>
        <w:t>第六章 评审方法、程序和标准</w:t>
      </w:r>
      <w:bookmarkEnd w:id="38"/>
      <w:bookmarkEnd w:id="39"/>
      <w:bookmarkEnd w:id="40"/>
    </w:p>
    <w:p w14:paraId="1FB0D81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比选比选</w:t>
      </w:r>
      <w:r>
        <w:rPr>
          <w:rFonts w:hint="eastAsia" w:ascii="仿宋" w:hAnsi="仿宋" w:eastAsia="仿宋" w:cs="仿宋"/>
          <w:color w:val="000000" w:themeColor="text1"/>
          <w:kern w:val="1"/>
          <w:sz w:val="24"/>
          <w:szCs w:val="24"/>
          <w:highlight w:val="none"/>
          <w14:textFill>
            <w14:solidFill>
              <w14:schemeClr w14:val="tx1"/>
            </w14:solidFill>
          </w14:textFill>
        </w:rPr>
        <w:t>小组在评审过程中，应当参照《中华人民共和国政府采购法实施条例》（国务院令第658号）、《关于印发政府采购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采购方式管理暂行办法的通知》（财库[2014]214号）、《财政部关于政府采购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采购方式管理暂行办法有关问题的补充通知》（财库〔2015〕124号）和《四川省政府采购评审工作规程（修订）》（川财采[2016]53 号）的规定履行职责和义务，不得违法评审、违反评审工作纪律。</w:t>
      </w:r>
    </w:p>
    <w:p w14:paraId="2745A36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1" w:name="_Toc14994"/>
      <w:bookmarkStart w:id="42" w:name="_Toc180954159"/>
      <w:bookmarkStart w:id="43" w:name="_Toc180954112"/>
      <w:bookmarkStart w:id="44" w:name="_Toc180954082"/>
      <w:r>
        <w:rPr>
          <w:rFonts w:hint="eastAsia" w:ascii="仿宋" w:hAnsi="仿宋" w:eastAsia="仿宋" w:cs="仿宋"/>
          <w:b/>
          <w:color w:val="000000" w:themeColor="text1"/>
          <w:kern w:val="1"/>
          <w:sz w:val="24"/>
          <w:szCs w:val="24"/>
          <w:highlight w:val="none"/>
          <w14:textFill>
            <w14:solidFill>
              <w14:schemeClr w14:val="tx1"/>
            </w14:solidFill>
          </w14:textFill>
        </w:rPr>
        <w:t>一、评审方法</w:t>
      </w:r>
      <w:bookmarkEnd w:id="41"/>
      <w:bookmarkEnd w:id="42"/>
      <w:bookmarkEnd w:id="43"/>
      <w:bookmarkEnd w:id="44"/>
    </w:p>
    <w:p w14:paraId="37CE56A6">
      <w:pPr>
        <w:pageBreakBefore w:val="0"/>
        <w:widowControl/>
        <w:kinsoku/>
        <w:wordWrap w:val="0"/>
        <w:overflowPunct/>
        <w:topLinePunct w:val="0"/>
        <w:bidi w:val="0"/>
        <w:spacing w:line="360" w:lineRule="auto"/>
        <w:ind w:firstLine="480"/>
        <w:jc w:val="left"/>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本项目采用</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综合</w:t>
      </w:r>
      <w:r>
        <w:rPr>
          <w:rFonts w:hint="eastAsia" w:ascii="仿宋" w:hAnsi="仿宋" w:eastAsia="仿宋" w:cs="仿宋"/>
          <w:color w:val="000000" w:themeColor="text1"/>
          <w:kern w:val="1"/>
          <w:sz w:val="24"/>
          <w:szCs w:val="24"/>
          <w:highlight w:val="none"/>
          <w14:textFill>
            <w14:solidFill>
              <w14:schemeClr w14:val="tx1"/>
            </w14:solidFill>
          </w14:textFill>
        </w:rPr>
        <w:t>评审方法。</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评审委员会按照以下评审流程、标准对申请文件进行评审。</w:t>
      </w:r>
    </w:p>
    <w:p w14:paraId="5D575DC7">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5" w:name="_Toc180954160"/>
      <w:bookmarkStart w:id="46" w:name="_Toc180954113"/>
      <w:bookmarkStart w:id="47" w:name="_Toc180954083"/>
      <w:bookmarkStart w:id="48" w:name="_Toc9318"/>
      <w:r>
        <w:rPr>
          <w:rFonts w:hint="eastAsia" w:ascii="仿宋" w:hAnsi="仿宋" w:eastAsia="仿宋" w:cs="仿宋"/>
          <w:b/>
          <w:color w:val="000000" w:themeColor="text1"/>
          <w:kern w:val="1"/>
          <w:sz w:val="24"/>
          <w:szCs w:val="24"/>
          <w:highlight w:val="none"/>
          <w14:textFill>
            <w14:solidFill>
              <w14:schemeClr w14:val="tx1"/>
            </w14:solidFill>
          </w14:textFill>
        </w:rPr>
        <w:t>二、评审程序</w:t>
      </w:r>
      <w:bookmarkEnd w:id="45"/>
      <w:bookmarkEnd w:id="46"/>
      <w:bookmarkEnd w:id="47"/>
      <w:bookmarkEnd w:id="48"/>
    </w:p>
    <w:p w14:paraId="1A5CD0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本项目评审按照下列程序进行：</w:t>
      </w:r>
    </w:p>
    <w:p w14:paraId="2AF7FA6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（一）资格性审查：</w:t>
      </w:r>
    </w:p>
    <w:p w14:paraId="0814FF3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1、在供应商递交响应文件截止时间结束后，组织</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小组对递交响应文件的供应商进行资格审查，确定邀请参加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4B071B2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的供应商数量采用合格数量制，即</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小组对各供应商资格审查后，凡符合本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文件规定资格条件的，均进入参加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210827D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小组资格审查结束后，出具资格审查报告，确定参加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的供应商名单。没有通过资格审查的供应商，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小组应在资格审查报告中说明原因。</w:t>
      </w:r>
    </w:p>
    <w:p w14:paraId="2D4F594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kern w:val="1"/>
          <w:sz w:val="24"/>
          <w:szCs w:val="24"/>
          <w:highlight w:val="none"/>
          <w14:textFill>
            <w14:solidFill>
              <w14:schemeClr w14:val="tx1"/>
            </w14:solidFill>
          </w14:textFill>
        </w:rPr>
        <w:t>收到</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小组出具的资格审查报告后，当场向所有递交响应文件的供应商宣布通过及未通过资格审查的供应商名单。</w:t>
      </w:r>
    </w:p>
    <w:p w14:paraId="5B265F7F">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p>
    <w:p w14:paraId="3BED3BD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小组所有成员集中与单一供应商分别进行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的顺序以现场抽签的方式确定。</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情况调整轮次。</w:t>
      </w:r>
    </w:p>
    <w:p w14:paraId="678E000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其他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10D8F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578DE3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情况实质性变动采购需求中的技术、服务要求以及合同草案条款，但不得变动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文件中的其他内容。实质性变动的内容，须经采购人代表确认。变动的内容以书面形式通知所有参加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的供应商，并做好书面记录。</w:t>
      </w:r>
    </w:p>
    <w:p w14:paraId="1DD56B1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5、供应商应当按照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文件的变动情况和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00230A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小组经与供应商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和对响应文件审查后，供应商响应文件未实质性响应</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小组应当对其响应文件按无效处理，并书面告知供应商，说明理由。 </w:t>
      </w:r>
    </w:p>
    <w:p w14:paraId="7E1C784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小组应当要求所有实质性响应的供应商在规定时间内进行，未在规定时间内提交的视为自动放弃报价资格，导致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终止的，不予退还其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保证金。 </w:t>
      </w:r>
    </w:p>
    <w:p w14:paraId="27EACE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1"/>
          <w:sz w:val="24"/>
          <w:szCs w:val="24"/>
          <w:highlight w:val="none"/>
          <w14:textFill>
            <w14:solidFill>
              <w14:schemeClr w14:val="tx1"/>
            </w14:solidFill>
          </w14:textFill>
        </w:rPr>
        <w:t>、供应商提交的函，应当签字确认或者加盖公章，否则无效。供应商为法人的，应当由其法定代表人或者代理人签字确认；供应商为其他组织的，由其主要负责人或者代理人签字确认；供应商为自然人的，由其本人或者代理人签字。</w:t>
      </w:r>
    </w:p>
    <w:p w14:paraId="0E3DDEB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（三）评审标准</w:t>
      </w:r>
    </w:p>
    <w:p w14:paraId="33ACD47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1、供应商报价结束后，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小组应根据财政部的规定，按照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文件规定的评审方法和标准对提交的供应商的响应文件和进行综合评分。</w:t>
      </w:r>
    </w:p>
    <w:p w14:paraId="7AC17D8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小组根据综合评分情况，按照评审得分由高到低顺序推荐成交候选供应商。评审得分相同的，按照由低到高的顺序推荐。评审得分且相同的，按照技术指标优劣的顺序推荐。</w:t>
      </w:r>
    </w:p>
    <w:p w14:paraId="0FCF452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小组推荐成交候选供应商后，应当向招标采购单位出具评审报告。评审报告应当由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小组全体成员签字确认。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对评审过程和结果有不同意见的，应当在评审报告中写明并说明理由。签字但不写明不同意见或者不说明理由的，视同无意见。拒不签字又不另行书面说明其不同意见和理由的，视同同意评审结果。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小组按照少数服从多数的原则推荐成交候选供应商，采购程序继续进行。对评审报告有异议的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小组成员，应当在报告上签署不同意见并说明理由，由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小组书面记录相关情况。</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小组成员拒绝在报告上签字又不书面说明其不同意见和理由的，视为同意评审报告。</w:t>
      </w:r>
    </w:p>
    <w:p w14:paraId="2BEF10F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4、评审过程中，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小组应当按照财政部的规定进行复核。招标采购单位评审现场发现资格性检查认定错误、分值汇总计算错误、分项评分超出评分标准范围、客观分评分不一致以及</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小组一致认定评分畸高、畸低的情形，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小组应当现场重新评审或者修改评审结果，并在评审报告中明确记载。</w:t>
      </w:r>
    </w:p>
    <w:p w14:paraId="4545FF2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5、除财政部规定的情形外，招标采购单位不得在现场评审活动结束后以任何方式和理由组织原</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小组重新评审，改变评审结果。违规重新评审的，重新评审结果无效，并承担给他人造成损失的责任。</w:t>
      </w:r>
    </w:p>
    <w:p w14:paraId="3A2FDBA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9" w:name="_Toc180954114"/>
      <w:bookmarkStart w:id="50" w:name="_Toc6833"/>
      <w:bookmarkStart w:id="51" w:name="_Toc180954161"/>
      <w:bookmarkStart w:id="52" w:name="_Toc180954084"/>
      <w:r>
        <w:rPr>
          <w:rFonts w:hint="eastAsia" w:ascii="仿宋" w:hAnsi="仿宋" w:eastAsia="仿宋" w:cs="仿宋"/>
          <w:b/>
          <w:color w:val="000000" w:themeColor="text1"/>
          <w:kern w:val="1"/>
          <w:sz w:val="24"/>
          <w:szCs w:val="24"/>
          <w:highlight w:val="none"/>
          <w14:textFill>
            <w14:solidFill>
              <w14:schemeClr w14:val="tx1"/>
            </w14:solidFill>
          </w14:textFill>
        </w:rPr>
        <w:t>三、确定成交供应商</w:t>
      </w:r>
      <w:bookmarkEnd w:id="49"/>
      <w:bookmarkEnd w:id="50"/>
      <w:bookmarkEnd w:id="51"/>
      <w:bookmarkEnd w:id="52"/>
    </w:p>
    <w:p w14:paraId="21AA3C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1、应当自评审结束后2个工作日内</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形成</w:t>
      </w:r>
      <w:r>
        <w:rPr>
          <w:rFonts w:hint="eastAsia" w:ascii="仿宋" w:hAnsi="仿宋" w:eastAsia="仿宋" w:cs="仿宋"/>
          <w:color w:val="000000" w:themeColor="text1"/>
          <w:kern w:val="1"/>
          <w:sz w:val="24"/>
          <w:szCs w:val="24"/>
          <w:highlight w:val="none"/>
          <w14:textFill>
            <w14:solidFill>
              <w14:schemeClr w14:val="tx1"/>
            </w14:solidFill>
          </w14:textFill>
        </w:rPr>
        <w:t>评审报告及有关资料</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报送主管领导</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kern w:val="1"/>
          <w:sz w:val="24"/>
          <w:szCs w:val="24"/>
          <w:highlight w:val="none"/>
          <w14:textFill>
            <w14:solidFill>
              <w14:schemeClr w14:val="tx1"/>
            </w14:solidFill>
          </w14:textFill>
        </w:rPr>
        <w:t>在5个工作日以内按照评审报告中推荐的成交候选供应商顺序确定成交供应商。</w:t>
      </w:r>
    </w:p>
    <w:p w14:paraId="72A631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2、采购人不确定排序前一位成交候选供应商为成交供应商的，应当将不确定的理由书面告知该成交候选供应商，并在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w:t>
      </w:r>
    </w:p>
    <w:p w14:paraId="0E57DD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3、采购人依法确定不出成交供应商的，应当重新组织采购，书面告知成交候选供应商，说明理由，并在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公告。采购人逾期未确定成交供应商且不提出异议的，视为确定评审报告提出的排序第一的成交候选供应商为成交供应商。</w:t>
      </w:r>
    </w:p>
    <w:p w14:paraId="58B76041">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3" w:name="_Toc180954115"/>
      <w:bookmarkStart w:id="54" w:name="_Toc180954162"/>
      <w:bookmarkStart w:id="55" w:name="_Toc180954085"/>
      <w:bookmarkStart w:id="56" w:name="_Toc12779"/>
      <w:r>
        <w:rPr>
          <w:rFonts w:hint="eastAsia" w:ascii="仿宋" w:hAnsi="仿宋" w:eastAsia="仿宋" w:cs="仿宋"/>
          <w:b/>
          <w:color w:val="000000" w:themeColor="text1"/>
          <w:kern w:val="1"/>
          <w:sz w:val="24"/>
          <w:szCs w:val="24"/>
          <w:highlight w:val="none"/>
          <w14:textFill>
            <w14:solidFill>
              <w14:schemeClr w14:val="tx1"/>
            </w14:solidFill>
          </w14:textFill>
        </w:rPr>
        <w:t>四、综合评分表</w:t>
      </w:r>
      <w:bookmarkEnd w:id="53"/>
      <w:bookmarkEnd w:id="54"/>
      <w:bookmarkEnd w:id="55"/>
      <w:bookmarkEnd w:id="56"/>
    </w:p>
    <w:tbl>
      <w:tblPr>
        <w:tblStyle w:val="80"/>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9"/>
        <w:gridCol w:w="818"/>
        <w:gridCol w:w="5928"/>
      </w:tblGrid>
      <w:tr w14:paraId="41B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4D607870">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239" w:type="dxa"/>
            <w:noWrap/>
            <w:vAlign w:val="center"/>
          </w:tcPr>
          <w:p w14:paraId="08F939EE">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评分因素</w:t>
            </w:r>
          </w:p>
        </w:tc>
        <w:tc>
          <w:tcPr>
            <w:tcW w:w="818" w:type="dxa"/>
            <w:noWrap/>
            <w:vAlign w:val="center"/>
          </w:tcPr>
          <w:p w14:paraId="5C301F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c>
          <w:tcPr>
            <w:tcW w:w="5928" w:type="dxa"/>
            <w:noWrap/>
            <w:vAlign w:val="center"/>
          </w:tcPr>
          <w:p w14:paraId="3D3EDC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评分标准</w:t>
            </w:r>
          </w:p>
        </w:tc>
      </w:tr>
      <w:tr w14:paraId="2843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ign w:val="center"/>
          </w:tcPr>
          <w:p w14:paraId="7EA230B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9" w:type="dxa"/>
            <w:noWrap/>
            <w:vAlign w:val="center"/>
          </w:tcPr>
          <w:p w14:paraId="2F346E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w:t>
            </w:r>
          </w:p>
        </w:tc>
        <w:tc>
          <w:tcPr>
            <w:tcW w:w="818" w:type="dxa"/>
            <w:noWrap/>
            <w:vAlign w:val="center"/>
          </w:tcPr>
          <w:p w14:paraId="09743C2C">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w:t>
            </w:r>
          </w:p>
        </w:tc>
        <w:tc>
          <w:tcPr>
            <w:tcW w:w="5928" w:type="dxa"/>
            <w:noWrap/>
            <w:vAlign w:val="center"/>
          </w:tcPr>
          <w:p w14:paraId="7BB8F99E">
            <w:pPr>
              <w:pStyle w:val="109"/>
              <w:pageBreakBefore w:val="0"/>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文件要求且最后报价最低的</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基准价，其价格分为满分。</w:t>
            </w:r>
          </w:p>
          <w:p w14:paraId="11CBD12A">
            <w:pPr>
              <w:pStyle w:val="109"/>
              <w:pageBreakBefore w:val="0"/>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其他供应商的价格分统一按照下列公式计算：</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基准价／最后</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r>
      <w:tr w14:paraId="10D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52C22AB1">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9" w:type="dxa"/>
            <w:noWrap/>
            <w:vAlign w:val="center"/>
          </w:tcPr>
          <w:p w14:paraId="7DECB4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类似业绩</w:t>
            </w:r>
          </w:p>
        </w:tc>
        <w:tc>
          <w:tcPr>
            <w:tcW w:w="818" w:type="dxa"/>
            <w:noWrap/>
            <w:vAlign w:val="center"/>
          </w:tcPr>
          <w:p w14:paraId="734B9F7B">
            <w:pPr>
              <w:pStyle w:val="30"/>
              <w:pageBreakBefore w:val="0"/>
              <w:kinsoku/>
              <w:wordWrap w:val="0"/>
              <w:overflowPunct/>
              <w:topLinePunct w:val="0"/>
              <w:bidi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5928" w:type="dxa"/>
            <w:noWrap/>
            <w:vAlign w:val="center"/>
          </w:tcPr>
          <w:p w14:paraId="0845A136">
            <w:pPr>
              <w:pStyle w:val="109"/>
              <w:pageBreakBefore w:val="0"/>
              <w:kinsoku/>
              <w:wordWrap w:val="0"/>
              <w:overflowPunct/>
              <w:topLinePunct w:val="0"/>
              <w:bidi w:val="0"/>
              <w:spacing w:after="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年 1 月 1  日（含）至比选申请截止时间（不含），每具有 1 个（含资格审查业绩）已完成的电梯维护保养类似业绩得 5 分，此项 最多得 15 分。</w:t>
            </w:r>
          </w:p>
        </w:tc>
      </w:tr>
      <w:tr w14:paraId="2C5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670D1513">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239" w:type="dxa"/>
            <w:noWrap/>
            <w:vAlign w:val="center"/>
          </w:tcPr>
          <w:p w14:paraId="711EB66C">
            <w:pPr>
              <w:pStyle w:val="30"/>
              <w:pageBreakBefore w:val="0"/>
              <w:kinsoku/>
              <w:wordWrap w:val="0"/>
              <w:overflowPunct/>
              <w:topLinePunct w:val="0"/>
              <w:bidi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项目人员</w:t>
            </w:r>
          </w:p>
        </w:tc>
        <w:tc>
          <w:tcPr>
            <w:tcW w:w="818" w:type="dxa"/>
            <w:noWrap/>
            <w:vAlign w:val="center"/>
          </w:tcPr>
          <w:p w14:paraId="5FFFA820">
            <w:pPr>
              <w:pStyle w:val="30"/>
              <w:pageBreakBefore w:val="0"/>
              <w:kinsoku/>
              <w:wordWrap w:val="0"/>
              <w:overflowPunct/>
              <w:topLinePunct w:val="0"/>
              <w:bidi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5928" w:type="dxa"/>
            <w:noWrap/>
            <w:vAlign w:val="center"/>
          </w:tcPr>
          <w:p w14:paraId="473804B9">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 、项目负责人（1人）：具备机电或机械类专业中级职称证书得 1.5</w:t>
            </w:r>
            <w:r>
              <w:rPr>
                <w:spacing w:val="-2"/>
              </w:rPr>
              <w:t>分，</w:t>
            </w:r>
            <w:r>
              <w:rPr>
                <w:rFonts w:hint="eastAsia" w:ascii="仿宋" w:hAnsi="仿宋" w:eastAsia="仿宋" w:cs="仿宋"/>
                <w:b w:val="0"/>
                <w:bCs w:val="0"/>
                <w:kern w:val="0"/>
                <w:sz w:val="24"/>
                <w:szCs w:val="24"/>
                <w:highlight w:val="none"/>
                <w:lang w:val="en-US" w:eastAsia="zh-CN" w:bidi="ar-SA"/>
              </w:rPr>
              <w:t>具有机电类专业高级及以上职称证书得3 分，同时具备特种设备 作业人员证，项目代号：T 的加 2 分，此项最多得 5 分。</w:t>
            </w:r>
          </w:p>
          <w:p w14:paraId="4D283327">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 、技术负责人（1  人）：具有机电或机械类中级工程师及以上职称 证的得2 分，同时持有特种设备作业人员证，项目代号：T 的加2 分，此项最多得4  分。</w:t>
            </w:r>
          </w:p>
          <w:p w14:paraId="1A930994">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3 、其他维保人员：每有 1 名具有中级工程师及以上职称证的得 1 分，同时持有特种设备作业人员证，项目代号：T 的加 1 分，本项 最多得 6 分。</w:t>
            </w:r>
          </w:p>
          <w:p w14:paraId="49695AB0">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备注：</w:t>
            </w:r>
          </w:p>
          <w:p w14:paraId="2495059F">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（1）以上人员应附身份证、学历证（若有）、职称证（若有）、特种设备作业人员证（若有）复印及其他有关证书复印件。</w:t>
            </w:r>
          </w:p>
          <w:p w14:paraId="42226C53">
            <w:pPr>
              <w:pStyle w:val="382"/>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rPr>
            </w:pPr>
            <w:r>
              <w:rPr>
                <w:rFonts w:hint="eastAsia" w:ascii="仿宋" w:hAnsi="仿宋" w:eastAsia="仿宋" w:cs="仿宋"/>
                <w:b w:val="0"/>
                <w:bCs w:val="0"/>
                <w:kern w:val="0"/>
                <w:sz w:val="24"/>
                <w:szCs w:val="24"/>
                <w:highlight w:val="none"/>
                <w:lang w:val="en-US" w:eastAsia="zh-CN" w:bidi="ar-SA"/>
              </w:rPr>
              <w:t>（2）以上人员必须为比选申请人本单位人员，并提供比选申请人为其缴纳的社保证明。</w:t>
            </w:r>
          </w:p>
        </w:tc>
      </w:tr>
      <w:tr w14:paraId="227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32B7B1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239" w:type="dxa"/>
            <w:noWrap/>
            <w:vAlign w:val="center"/>
          </w:tcPr>
          <w:p w14:paraId="498ACBE8">
            <w:pPr>
              <w:pageBreakBefore w:val="0"/>
              <w:kinsoku/>
              <w:wordWrap w:val="0"/>
              <w:overflowPunct/>
              <w:topLinePunct w:val="0"/>
              <w:bidi w:val="0"/>
              <w:snapToGrid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项目实施方案</w:t>
            </w:r>
          </w:p>
        </w:tc>
        <w:tc>
          <w:tcPr>
            <w:tcW w:w="818" w:type="dxa"/>
            <w:noWrap/>
            <w:vAlign w:val="center"/>
          </w:tcPr>
          <w:p w14:paraId="6CBD6BCE">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w:t>
            </w:r>
          </w:p>
        </w:tc>
        <w:tc>
          <w:tcPr>
            <w:tcW w:w="5928" w:type="dxa"/>
            <w:noWrap/>
            <w:vAlign w:val="center"/>
          </w:tcPr>
          <w:p w14:paraId="6F86E7A6">
            <w:pPr>
              <w:pStyle w:val="382"/>
              <w:keepNext w:val="0"/>
              <w:keepLines w:val="0"/>
              <w:pageBreakBefore w:val="0"/>
              <w:kinsoku/>
              <w:overflowPunct/>
              <w:topLinePunct w:val="0"/>
              <w:autoSpaceDE/>
              <w:autoSpaceDN/>
              <w:bidi w:val="0"/>
              <w:adjustRightInd/>
              <w:snapToGrid/>
              <w:spacing w:line="240" w:lineRule="auto"/>
              <w:ind w:left="0" w:right="0" w:firstLine="4"/>
              <w:textAlignment w:val="auto"/>
              <w:rPr>
                <w:rFonts w:hint="eastAsia" w:ascii="仿宋" w:hAnsi="仿宋" w:eastAsia="仿宋" w:cs="仿宋"/>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34"/>
                <w:sz w:val="24"/>
                <w:szCs w:val="24"/>
              </w:rPr>
              <w:t xml:space="preserve"> </w:t>
            </w:r>
            <w:r>
              <w:rPr>
                <w:rFonts w:hint="eastAsia" w:ascii="仿宋" w:hAnsi="仿宋" w:eastAsia="仿宋" w:cs="仿宋"/>
                <w:b/>
                <w:bCs/>
                <w:spacing w:val="-5"/>
                <w:sz w:val="24"/>
                <w:szCs w:val="24"/>
              </w:rPr>
              <w:t>、</w:t>
            </w:r>
            <w:r>
              <w:rPr>
                <w:rFonts w:hint="eastAsia" w:ascii="仿宋" w:hAnsi="仿宋" w:eastAsia="仿宋" w:cs="仿宋"/>
                <w:spacing w:val="-5"/>
                <w:sz w:val="24"/>
                <w:szCs w:val="24"/>
              </w:rPr>
              <w:t xml:space="preserve"> 维护保养方案：计划及工作安排、组织措施、技术措施、巡检方</w:t>
            </w:r>
            <w:r>
              <w:rPr>
                <w:rFonts w:hint="eastAsia" w:ascii="仿宋" w:hAnsi="仿宋" w:eastAsia="仿宋" w:cs="仿宋"/>
                <w:spacing w:val="-4"/>
                <w:sz w:val="24"/>
                <w:szCs w:val="24"/>
              </w:rPr>
              <w:t>案、维保质量保障措施。上述内容是否全面、详细，有无针对</w:t>
            </w:r>
            <w:r>
              <w:rPr>
                <w:rFonts w:hint="eastAsia" w:ascii="仿宋" w:hAnsi="仿宋" w:eastAsia="仿宋" w:cs="仿宋"/>
                <w:spacing w:val="-5"/>
                <w:sz w:val="24"/>
                <w:szCs w:val="24"/>
              </w:rPr>
              <w:t>性，是</w:t>
            </w:r>
            <w:r>
              <w:rPr>
                <w:rFonts w:hint="eastAsia" w:ascii="仿宋" w:hAnsi="仿宋" w:eastAsia="仿宋" w:cs="仿宋"/>
                <w:sz w:val="24"/>
                <w:szCs w:val="24"/>
              </w:rPr>
              <w:t xml:space="preserve"> </w:t>
            </w:r>
            <w:r>
              <w:rPr>
                <w:rFonts w:hint="eastAsia" w:ascii="仿宋" w:hAnsi="仿宋" w:eastAsia="仿宋" w:cs="仿宋"/>
                <w:spacing w:val="-6"/>
                <w:sz w:val="24"/>
                <w:szCs w:val="24"/>
              </w:rPr>
              <w:t>否合理、可行等进行评价打分。优得</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10-15</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分（不含</w:t>
            </w:r>
            <w:r>
              <w:rPr>
                <w:rFonts w:hint="eastAsia" w:ascii="仿宋" w:hAnsi="仿宋" w:eastAsia="仿宋" w:cs="仿宋"/>
                <w:spacing w:val="-28"/>
                <w:sz w:val="24"/>
                <w:szCs w:val="24"/>
              </w:rPr>
              <w:t>）；</w:t>
            </w:r>
            <w:r>
              <w:rPr>
                <w:rFonts w:hint="eastAsia" w:ascii="仿宋" w:hAnsi="仿宋" w:eastAsia="仿宋" w:cs="仿宋"/>
                <w:spacing w:val="-8"/>
                <w:sz w:val="24"/>
                <w:szCs w:val="24"/>
              </w:rPr>
              <w:t>一般得</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rPr>
              <w:t>5-10</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差得</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无得 0 分。</w:t>
            </w:r>
          </w:p>
          <w:p w14:paraId="0C23C1AC">
            <w:pPr>
              <w:pStyle w:val="382"/>
              <w:keepNext w:val="0"/>
              <w:keepLines w:val="0"/>
              <w:pageBreakBefore w:val="0"/>
              <w:kinsoku/>
              <w:overflowPunct/>
              <w:topLinePunct w:val="0"/>
              <w:autoSpaceDE/>
              <w:autoSpaceDN/>
              <w:bidi w:val="0"/>
              <w:adjustRightInd/>
              <w:snapToGrid/>
              <w:spacing w:line="240" w:lineRule="auto"/>
              <w:ind w:left="0" w:right="0"/>
              <w:textAlignment w:val="auto"/>
              <w:rPr>
                <w:rFonts w:hint="eastAsia"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sz w:val="24"/>
                <w:szCs w:val="24"/>
              </w:rPr>
              <w:t>安全作业保障方案：安全教育及培训计划、</w:t>
            </w:r>
            <w:r>
              <w:rPr>
                <w:rFonts w:hint="eastAsia" w:ascii="仿宋" w:hAnsi="仿宋" w:eastAsia="仿宋" w:cs="仿宋"/>
                <w:spacing w:val="-1"/>
                <w:sz w:val="24"/>
                <w:szCs w:val="24"/>
              </w:rPr>
              <w:t>安全管理措施、安全</w:t>
            </w:r>
            <w:r>
              <w:rPr>
                <w:rFonts w:hint="eastAsia" w:ascii="仿宋" w:hAnsi="仿宋" w:eastAsia="仿宋" w:cs="仿宋"/>
                <w:sz w:val="24"/>
                <w:szCs w:val="24"/>
              </w:rPr>
              <w:t xml:space="preserve"> </w:t>
            </w:r>
            <w:r>
              <w:rPr>
                <w:rFonts w:hint="eastAsia" w:ascii="仿宋" w:hAnsi="仿宋" w:eastAsia="仿宋" w:cs="仿宋"/>
                <w:spacing w:val="-4"/>
                <w:sz w:val="24"/>
                <w:szCs w:val="24"/>
              </w:rPr>
              <w:t>维护及现场秩序保障、安全应急预案。上述内容是否全面、详</w:t>
            </w:r>
            <w:r>
              <w:rPr>
                <w:rFonts w:hint="eastAsia" w:ascii="仿宋" w:hAnsi="仿宋" w:eastAsia="仿宋" w:cs="仿宋"/>
                <w:spacing w:val="-5"/>
                <w:sz w:val="24"/>
                <w:szCs w:val="24"/>
              </w:rPr>
              <w:t>细，有</w:t>
            </w:r>
            <w:r>
              <w:rPr>
                <w:rFonts w:hint="eastAsia" w:ascii="仿宋" w:hAnsi="仿宋" w:eastAsia="仿宋" w:cs="仿宋"/>
                <w:spacing w:val="-8"/>
                <w:sz w:val="24"/>
                <w:szCs w:val="24"/>
              </w:rPr>
              <w:t>无针对性，是否合理、可行等进行评价打分。优得</w:t>
            </w:r>
            <w:r>
              <w:rPr>
                <w:rFonts w:hint="eastAsia" w:ascii="仿宋" w:hAnsi="仿宋" w:eastAsia="仿宋" w:cs="仿宋"/>
                <w:spacing w:val="-19"/>
                <w:sz w:val="24"/>
                <w:szCs w:val="24"/>
              </w:rPr>
              <w:t xml:space="preserve"> </w:t>
            </w:r>
            <w:r>
              <w:rPr>
                <w:rFonts w:hint="eastAsia" w:ascii="仿宋" w:hAnsi="仿宋" w:eastAsia="仿宋" w:cs="仿宋"/>
                <w:spacing w:val="-8"/>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10-15</w:t>
            </w:r>
            <w:r>
              <w:rPr>
                <w:rFonts w:hint="eastAsia" w:ascii="仿宋" w:hAnsi="仿宋" w:eastAsia="仿宋" w:cs="仿宋"/>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一般得</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rPr>
              <w:t>5-10</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无得</w:t>
            </w:r>
            <w:r>
              <w:rPr>
                <w:rFonts w:hint="eastAsia" w:ascii="仿宋" w:hAnsi="仿宋" w:eastAsia="仿宋" w:cs="仿宋"/>
                <w:spacing w:val="11"/>
                <w:sz w:val="24"/>
                <w:szCs w:val="24"/>
              </w:rPr>
              <w:t xml:space="preserve"> </w:t>
            </w:r>
            <w:r>
              <w:rPr>
                <w:rFonts w:hint="eastAsia" w:ascii="仿宋" w:hAnsi="仿宋" w:eastAsia="仿宋" w:cs="仿宋"/>
                <w:spacing w:val="-7"/>
                <w:sz w:val="24"/>
                <w:szCs w:val="24"/>
              </w:rPr>
              <w:t>0</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分。</w:t>
            </w:r>
          </w:p>
          <w:p w14:paraId="24BCB4AD">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0" w:leftChars="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pacing w:val="-3"/>
                <w:sz w:val="24"/>
                <w:szCs w:val="24"/>
              </w:rPr>
              <w:t>3、</w:t>
            </w:r>
            <w:r>
              <w:rPr>
                <w:rFonts w:hint="eastAsia" w:ascii="仿宋" w:hAnsi="仿宋" w:eastAsia="仿宋" w:cs="仿宋"/>
                <w:spacing w:val="-3"/>
                <w:sz w:val="24"/>
                <w:szCs w:val="24"/>
              </w:rPr>
              <w:t>服务重难点分析：对服务重点难点分析是否全面、具体，有无针</w:t>
            </w:r>
            <w:r>
              <w:rPr>
                <w:rFonts w:hint="eastAsia" w:ascii="仿宋" w:hAnsi="仿宋" w:eastAsia="仿宋" w:cs="仿宋"/>
                <w:spacing w:val="-13"/>
                <w:sz w:val="24"/>
                <w:szCs w:val="24"/>
              </w:rPr>
              <w:t>对性，解决方案是否合理可行等进行评价打分。优得</w:t>
            </w:r>
            <w:r>
              <w:rPr>
                <w:rFonts w:hint="eastAsia" w:ascii="仿宋" w:hAnsi="仿宋" w:eastAsia="仿宋" w:cs="仿宋"/>
                <w:spacing w:val="-21"/>
                <w:sz w:val="24"/>
                <w:szCs w:val="24"/>
              </w:rPr>
              <w:t xml:space="preserve"> </w:t>
            </w:r>
            <w:r>
              <w:rPr>
                <w:rFonts w:hint="eastAsia" w:ascii="仿宋" w:hAnsi="仿宋" w:eastAsia="仿宋" w:cs="仿宋"/>
                <w:spacing w:val="-13"/>
                <w:sz w:val="24"/>
                <w:szCs w:val="24"/>
              </w:rPr>
              <w:t>10</w:t>
            </w:r>
            <w:r>
              <w:rPr>
                <w:rFonts w:hint="eastAsia" w:ascii="仿宋" w:hAnsi="仿宋" w:eastAsia="仿宋" w:cs="仿宋"/>
                <w:spacing w:val="-49"/>
                <w:sz w:val="24"/>
                <w:szCs w:val="24"/>
              </w:rPr>
              <w:t xml:space="preserve"> </w:t>
            </w:r>
            <w:r>
              <w:rPr>
                <w:rFonts w:hint="eastAsia" w:ascii="仿宋" w:hAnsi="仿宋" w:eastAsia="仿宋" w:cs="仿宋"/>
                <w:spacing w:val="-13"/>
                <w:sz w:val="24"/>
                <w:szCs w:val="24"/>
              </w:rPr>
              <w:t>分；良得</w:t>
            </w:r>
            <w:r>
              <w:rPr>
                <w:rFonts w:hint="eastAsia" w:ascii="仿宋" w:hAnsi="仿宋" w:eastAsia="仿宋" w:cs="仿宋"/>
                <w:spacing w:val="-45"/>
                <w:sz w:val="24"/>
                <w:szCs w:val="24"/>
              </w:rPr>
              <w:t xml:space="preserve"> </w:t>
            </w:r>
            <w:r>
              <w:rPr>
                <w:rFonts w:hint="eastAsia" w:ascii="仿宋" w:hAnsi="仿宋" w:eastAsia="仿宋" w:cs="仿宋"/>
                <w:spacing w:val="-13"/>
                <w:sz w:val="24"/>
                <w:szCs w:val="24"/>
              </w:rPr>
              <w:t>7-10</w:t>
            </w:r>
            <w:r>
              <w:rPr>
                <w:rFonts w:hint="eastAsia" w:ascii="仿宋" w:hAnsi="仿宋" w:eastAsia="仿宋" w:cs="仿宋"/>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一般得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4-7</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0（不含）-4</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8"/>
                <w:sz w:val="24"/>
                <w:szCs w:val="24"/>
              </w:rPr>
              <w:t>无得</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0</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分。</w:t>
            </w:r>
          </w:p>
        </w:tc>
      </w:tr>
    </w:tbl>
    <w:p w14:paraId="254DBE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bCs/>
          <w:color w:val="000000" w:themeColor="text1"/>
          <w:kern w:val="1"/>
          <w:highlight w:val="none"/>
          <w14:textFill>
            <w14:solidFill>
              <w14:schemeClr w14:val="tx1"/>
            </w14:solidFill>
          </w14:textFill>
        </w:rPr>
        <w:t>注：1）</w:t>
      </w:r>
      <w:r>
        <w:rPr>
          <w:rFonts w:hint="eastAsia" w:ascii="仿宋" w:hAnsi="仿宋" w:eastAsia="仿宋" w:cs="仿宋"/>
          <w:color w:val="000000" w:themeColor="text1"/>
          <w:kern w:val="1"/>
          <w:highlight w:val="none"/>
          <w14:textFill>
            <w14:solidFill>
              <w14:schemeClr w14:val="tx1"/>
            </w14:solidFill>
          </w14:textFill>
        </w:rPr>
        <w:t>评分的取值按四舍五入法，保留小数点后两位。</w:t>
      </w:r>
    </w:p>
    <w:p w14:paraId="7365D2E8">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7" w:name="_Toc180954116"/>
      <w:bookmarkStart w:id="58" w:name="_Toc180954163"/>
      <w:bookmarkStart w:id="59" w:name="_Toc32154"/>
      <w:bookmarkStart w:id="60" w:name="_Toc180954086"/>
      <w:r>
        <w:rPr>
          <w:rFonts w:hint="eastAsia" w:ascii="仿宋" w:hAnsi="仿宋" w:eastAsia="仿宋" w:cs="仿宋"/>
          <w:b/>
          <w:color w:val="000000" w:themeColor="text1"/>
          <w:kern w:val="1"/>
          <w:sz w:val="24"/>
          <w:szCs w:val="24"/>
          <w:highlight w:val="none"/>
          <w14:textFill>
            <w14:solidFill>
              <w14:schemeClr w14:val="tx1"/>
            </w14:solidFill>
          </w14:textFill>
        </w:rPr>
        <w:t>五、终止采购活动</w:t>
      </w:r>
      <w:bookmarkEnd w:id="57"/>
      <w:bookmarkEnd w:id="58"/>
      <w:bookmarkEnd w:id="59"/>
      <w:bookmarkEnd w:id="60"/>
      <w:r>
        <w:rPr>
          <w:rFonts w:hint="eastAsia" w:ascii="仿宋" w:hAnsi="仿宋" w:eastAsia="仿宋" w:cs="仿宋"/>
          <w:b/>
          <w:color w:val="000000" w:themeColor="text1"/>
          <w:kern w:val="1"/>
          <w:sz w:val="24"/>
          <w:szCs w:val="24"/>
          <w:highlight w:val="none"/>
          <w14:textFill>
            <w14:solidFill>
              <w14:schemeClr w14:val="tx1"/>
            </w14:solidFill>
          </w14:textFill>
        </w:rPr>
        <w:t xml:space="preserve"> </w:t>
      </w:r>
    </w:p>
    <w:p w14:paraId="5304A54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出现下列情形之一的，采购人或者应当终止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采购活动，发布项目终止公告并说明原因，重新开展采购活动：</w:t>
      </w:r>
    </w:p>
    <w:p w14:paraId="729EC8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（1）因情况变化，不再符合规定的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采购方式适用情形的；</w:t>
      </w:r>
    </w:p>
    <w:p w14:paraId="4169A7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（2）出现影响采购公正的违法、违规行为的；</w:t>
      </w:r>
    </w:p>
    <w:p w14:paraId="15EF36F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（3）在采购过程中符合要求的供应商或者报价未超过控制价的供应商不足3家的。</w:t>
      </w:r>
    </w:p>
    <w:p w14:paraId="4B4135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61" w:name="_Toc180954088"/>
      <w:bookmarkStart w:id="62" w:name="_Toc180954118"/>
      <w:bookmarkStart w:id="63" w:name="_Toc148"/>
      <w:r>
        <w:rPr>
          <w:rFonts w:hint="eastAsia" w:ascii="仿宋" w:hAnsi="仿宋" w:eastAsia="仿宋" w:cs="仿宋"/>
          <w:color w:val="000000" w:themeColor="text1"/>
          <w:highlight w:val="none"/>
          <w14:textFill>
            <w14:solidFill>
              <w14:schemeClr w14:val="tx1"/>
            </w14:solidFill>
          </w14:textFill>
        </w:rPr>
        <w:t>第七章 部分响应文件格式</w:t>
      </w:r>
      <w:bookmarkEnd w:id="61"/>
      <w:bookmarkEnd w:id="62"/>
      <w:bookmarkEnd w:id="63"/>
    </w:p>
    <w:p w14:paraId="3F2484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一、本章所制响应文件格式，除格式中明确将该格式作为实质性要求的，一律不具有强制性。</w:t>
      </w:r>
    </w:p>
    <w:p w14:paraId="31DFABC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二、本章所制响应文件格式有关表格中的备注栏，由供应商根据自身响应情况作解释性说明，不作为必填项。</w:t>
      </w:r>
    </w:p>
    <w:p w14:paraId="638187B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2719DD79">
      <w:pPr>
        <w:pageBreakBefore w:val="0"/>
        <w:kinsoku/>
        <w:wordWrap w:val="0"/>
        <w:overflowPunct/>
        <w:topLinePunct w:val="0"/>
        <w:bidi w:val="0"/>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（资格性响应文件和技术、服务性响应文件两部分，应分册装订密封）</w:t>
      </w:r>
    </w:p>
    <w:p w14:paraId="25EB19A3">
      <w:pPr>
        <w:pageBreakBefore w:val="0"/>
        <w:kinsoku/>
        <w:wordWrap w:val="0"/>
        <w:overflowPunct/>
        <w:topLinePunct w:val="0"/>
        <w:bidi w:val="0"/>
        <w:spacing w:line="360" w:lineRule="auto"/>
        <w:jc w:val="right"/>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5BAE245">
      <w:pPr>
        <w:pageBreakBefore w:val="0"/>
        <w:widowControl/>
        <w:kinsoku/>
        <w:wordWrap w:val="0"/>
        <w:overflowPunct/>
        <w:topLinePunct w:val="0"/>
        <w:bidi w:val="0"/>
        <w:spacing w:line="360" w:lineRule="auto"/>
        <w:jc w:val="left"/>
        <w:rPr>
          <w:rFonts w:ascii="仿宋" w:hAnsi="仿宋" w:eastAsia="仿宋" w:cs="仿宋"/>
          <w:b/>
          <w:color w:val="000000" w:themeColor="text1"/>
          <w:sz w:val="72"/>
          <w:szCs w:val="20"/>
          <w:highlight w:val="none"/>
          <w14:textFill>
            <w14:solidFill>
              <w14:schemeClr w14:val="tx1"/>
            </w14:solidFill>
          </w14:textFill>
        </w:rPr>
      </w:pPr>
    </w:p>
    <w:p w14:paraId="0BD7A3E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kern w:val="1"/>
          <w:sz w:val="52"/>
          <w:szCs w:val="52"/>
          <w:highlight w:val="none"/>
          <w14:textFill>
            <w14:solidFill>
              <w14:schemeClr w14:val="tx1"/>
            </w14:solidFill>
          </w14:textFill>
        </w:rPr>
      </w:pPr>
      <w:bookmarkStart w:id="64" w:name="_Toc13750"/>
      <w:bookmarkEnd w:id="64"/>
      <w:bookmarkStart w:id="65" w:name="_Toc498586715"/>
      <w:bookmarkEnd w:id="65"/>
      <w:bookmarkStart w:id="66" w:name="_Toc180954119"/>
      <w:bookmarkStart w:id="67" w:name="_Toc14780"/>
      <w:bookmarkStart w:id="68" w:name="_Toc180954166"/>
      <w:r>
        <w:rPr>
          <w:rFonts w:hint="eastAsia" w:ascii="仿宋" w:hAnsi="仿宋" w:eastAsia="仿宋" w:cs="仿宋"/>
          <w:b/>
          <w:color w:val="000000" w:themeColor="text1"/>
          <w:kern w:val="1"/>
          <w:sz w:val="52"/>
          <w:szCs w:val="52"/>
          <w:highlight w:val="none"/>
          <w14:textFill>
            <w14:solidFill>
              <w14:schemeClr w14:val="tx1"/>
            </w14:solidFill>
          </w14:textFill>
        </w:rPr>
        <w:t>第一部分  资格性响应文件</w:t>
      </w:r>
      <w:bookmarkEnd w:id="66"/>
      <w:bookmarkEnd w:id="67"/>
      <w:bookmarkEnd w:id="68"/>
    </w:p>
    <w:p w14:paraId="68B31508">
      <w:pPr>
        <w:pageBreakBefore w:val="0"/>
        <w:widowControl/>
        <w:kinsoku/>
        <w:wordWrap w:val="0"/>
        <w:overflowPunct/>
        <w:topLinePunct w:val="0"/>
        <w:bidi w:val="0"/>
        <w:spacing w:line="360" w:lineRule="auto"/>
        <w:rPr>
          <w:rFonts w:ascii="仿宋" w:hAnsi="仿宋" w:eastAsia="仿宋" w:cs="仿宋"/>
          <w:b/>
          <w:color w:val="000000" w:themeColor="text1"/>
          <w:sz w:val="44"/>
          <w:szCs w:val="20"/>
          <w:highlight w:val="none"/>
          <w14:textFill>
            <w14:solidFill>
              <w14:schemeClr w14:val="tx1"/>
            </w14:solidFill>
          </w14:textFill>
        </w:rPr>
      </w:pPr>
    </w:p>
    <w:p w14:paraId="17FF8BA6">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24A46B1F">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4381A1A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426C1BE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4F515B8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01C5AF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10F8789">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D59DC79">
      <w:pPr>
        <w:pageBreakBefore w:val="0"/>
        <w:widowControl/>
        <w:kinsoku/>
        <w:wordWrap w:val="0"/>
        <w:overflowPunct/>
        <w:topLinePunct w:val="0"/>
        <w:bidi w:val="0"/>
        <w:spacing w:line="360" w:lineRule="auto"/>
        <w:ind w:firstLine="562"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 ：2025年 月 日</w:t>
      </w: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格式1-1</w:t>
      </w:r>
    </w:p>
    <w:p w14:paraId="45F8DF87">
      <w:pPr>
        <w:pageBreakBefore w:val="0"/>
        <w:kinsoku/>
        <w:wordWrap w:val="0"/>
        <w:overflowPunct/>
        <w:topLinePunct w:val="0"/>
        <w:bidi w:val="0"/>
        <w:spacing w:line="360" w:lineRule="auto"/>
        <w:ind w:left="99"/>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69" w:name="_Toc5868"/>
      <w:bookmarkEnd w:id="69"/>
      <w:bookmarkStart w:id="70" w:name="_Toc180954167"/>
      <w:bookmarkStart w:id="71" w:name="_Toc9975"/>
      <w:bookmarkStart w:id="72" w:name="_Toc180954120"/>
      <w:r>
        <w:rPr>
          <w:rFonts w:hint="eastAsia" w:ascii="仿宋" w:hAnsi="仿宋" w:eastAsia="仿宋" w:cs="仿宋"/>
          <w:b/>
          <w:color w:val="000000" w:themeColor="text1"/>
          <w:sz w:val="36"/>
          <w:szCs w:val="36"/>
          <w:highlight w:val="none"/>
          <w14:textFill>
            <w14:solidFill>
              <w14:schemeClr w14:val="tx1"/>
            </w14:solidFill>
          </w14:textFill>
        </w:rPr>
        <w:t>一、法定代表人/单位负责人身份证明书</w:t>
      </w:r>
      <w:bookmarkEnd w:id="70"/>
      <w:bookmarkEnd w:id="71"/>
      <w:bookmarkEnd w:id="72"/>
    </w:p>
    <w:p w14:paraId="4FB56A92">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p>
    <w:p w14:paraId="49544B8A">
      <w:pPr>
        <w:pageBreakBefore w:val="0"/>
        <w:tabs>
          <w:tab w:val="left" w:pos="6300"/>
        </w:tabs>
        <w:kinsoku/>
        <w:wordWrap w:val="0"/>
        <w:overflowPunct/>
        <w:topLinePunct w:val="0"/>
        <w:bidi w:val="0"/>
        <w:spacing w:line="360" w:lineRule="auto"/>
        <w:ind w:firstLine="48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（法定代表人</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单位负责人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姓名）         </w:t>
      </w:r>
      <w:r>
        <w:rPr>
          <w:rFonts w:hint="eastAsia" w:ascii="仿宋" w:hAnsi="仿宋" w:eastAsia="仿宋" w:cs="仿宋"/>
          <w:color w:val="000000" w:themeColor="text1"/>
          <w:sz w:val="24"/>
          <w:highlight w:val="none"/>
          <w:lang w:val="zh-CN"/>
          <w14:textFill>
            <w14:solidFill>
              <w14:schemeClr w14:val="tx1"/>
            </w14:solidFill>
          </w14:textFill>
        </w:rPr>
        <w:t>在</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（供应商名称） </w:t>
      </w:r>
      <w:r>
        <w:rPr>
          <w:rFonts w:hint="eastAsia" w:ascii="仿宋" w:hAnsi="仿宋" w:eastAsia="仿宋" w:cs="仿宋"/>
          <w:color w:val="000000" w:themeColor="text1"/>
          <w:sz w:val="24"/>
          <w:highlight w:val="none"/>
          <w:lang w:val="zh-CN"/>
          <w14:textFill>
            <w14:solidFill>
              <w14:schemeClr w14:val="tx1"/>
            </w14:solidFill>
          </w14:textFill>
        </w:rPr>
        <w:t>处任</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（职务名称）        </w:t>
      </w:r>
      <w:r>
        <w:rPr>
          <w:rFonts w:hint="eastAsia" w:ascii="仿宋" w:hAnsi="仿宋" w:eastAsia="仿宋" w:cs="仿宋"/>
          <w:color w:val="000000" w:themeColor="text1"/>
          <w:sz w:val="24"/>
          <w:highlight w:val="none"/>
          <w:lang w:val="zh-CN"/>
          <w14:textFill>
            <w14:solidFill>
              <w14:schemeClr w14:val="tx1"/>
            </w14:solidFill>
          </w14:textFill>
        </w:rPr>
        <w:t>职务，是</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（供应商名称）    </w:t>
      </w:r>
      <w:r>
        <w:rPr>
          <w:rFonts w:hint="eastAsia" w:ascii="仿宋" w:hAnsi="仿宋" w:eastAsia="仿宋" w:cs="仿宋"/>
          <w:color w:val="000000" w:themeColor="text1"/>
          <w:sz w:val="24"/>
          <w:highlight w:val="none"/>
          <w:lang w:val="zh-CN"/>
          <w14:textFill>
            <w14:solidFill>
              <w14:schemeClr w14:val="tx1"/>
            </w14:solidFill>
          </w14:textFill>
        </w:rPr>
        <w:t>的法定代表人/单位负责人。</w:t>
      </w:r>
    </w:p>
    <w:p w14:paraId="788466DE">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4B1AD758">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64EE45CA">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p>
    <w:p w14:paraId="775CB456">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特此证明。</w:t>
      </w:r>
    </w:p>
    <w:p w14:paraId="3744A7B6">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p>
    <w:p w14:paraId="55D4746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附件：法定代表人/单位负责人有效的身份证复印件（身份证两面均应复印）。供应商的法定代表人为外籍人士的，则需提供护照复印件。</w:t>
      </w:r>
    </w:p>
    <w:p w14:paraId="35271138">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283B7EF">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170700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EEE9979">
      <w:pPr>
        <w:pageBreakBefore w:val="0"/>
        <w:kinsoku/>
        <w:wordWrap w:val="0"/>
        <w:overflowPunct/>
        <w:topLinePunct w:val="0"/>
        <w:bidi w:val="0"/>
        <w:spacing w:line="360" w:lineRule="auto"/>
        <w:jc w:val="lef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E4B0526">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格式1-2</w:t>
      </w:r>
    </w:p>
    <w:p w14:paraId="5E24A559">
      <w:pPr>
        <w:pageBreakBefore w:val="0"/>
        <w:widowControl/>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73" w:name="_Toc27724"/>
      <w:bookmarkEnd w:id="73"/>
      <w:bookmarkStart w:id="74" w:name="_Toc8479"/>
      <w:bookmarkStart w:id="75" w:name="_Toc180954121"/>
      <w:bookmarkStart w:id="76" w:name="_Toc180954168"/>
      <w:r>
        <w:rPr>
          <w:rFonts w:hint="eastAsia" w:ascii="仿宋" w:hAnsi="仿宋" w:eastAsia="仿宋" w:cs="仿宋"/>
          <w:b/>
          <w:color w:val="000000" w:themeColor="text1"/>
          <w:sz w:val="32"/>
          <w:szCs w:val="32"/>
          <w:highlight w:val="none"/>
          <w14:textFill>
            <w14:solidFill>
              <w14:schemeClr w14:val="tx1"/>
            </w14:solidFill>
          </w14:textFill>
        </w:rPr>
        <w:t>二、法定代表人/单位负责人授权书</w:t>
      </w:r>
      <w:bookmarkEnd w:id="74"/>
      <w:bookmarkEnd w:id="75"/>
      <w:bookmarkEnd w:id="76"/>
    </w:p>
    <w:p w14:paraId="73B023A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462A4DC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（供应商名称）（法定代表人/单位负责人姓名、职务）</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u w:val="single"/>
          <w14:textFill>
            <w14:solidFill>
              <w14:schemeClr w14:val="tx1"/>
            </w14:solidFill>
          </w14:textFill>
        </w:rPr>
        <w:t xml:space="preserve">          （被授权人姓名、职务）</w:t>
      </w:r>
      <w:r>
        <w:rPr>
          <w:rFonts w:hint="eastAsia" w:ascii="仿宋" w:hAnsi="仿宋" w:eastAsia="仿宋" w:cs="仿宋"/>
          <w:color w:val="000000" w:themeColor="text1"/>
          <w:sz w:val="24"/>
          <w:highlight w:val="none"/>
          <w14:textFill>
            <w14:solidFill>
              <w14:schemeClr w14:val="tx1"/>
            </w14:solidFill>
          </w14:textFill>
        </w:rPr>
        <w:t>为我方</w:t>
      </w:r>
      <w:r>
        <w:rPr>
          <w:rFonts w:hint="eastAsia" w:ascii="仿宋" w:hAnsi="仿宋" w:eastAsia="仿宋" w:cs="仿宋"/>
          <w:color w:val="000000" w:themeColor="text1"/>
          <w:sz w:val="24"/>
          <w:highlight w:val="none"/>
          <w:u w:val="single"/>
          <w14:textFill>
            <w14:solidFill>
              <w14:schemeClr w14:val="tx1"/>
            </w14:solidFill>
          </w14:textFill>
        </w:rPr>
        <w:t xml:space="preserve"> “              ” 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采购项目编号：                    </w:t>
      </w:r>
      <w:r>
        <w:rPr>
          <w:rFonts w:hint="eastAsia" w:ascii="仿宋" w:hAnsi="仿宋" w:eastAsia="仿宋" w:cs="仿宋"/>
          <w:color w:val="000000" w:themeColor="text1"/>
          <w:sz w:val="24"/>
          <w:highlight w:val="none"/>
          <w14:textFill>
            <w14:solidFill>
              <w14:schemeClr w14:val="tx1"/>
            </w14:solidFill>
          </w14:textFill>
        </w:rPr>
        <w:t>）采购活动的合法代表，以我方名义全权处理该项目有关</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、签订合同以及执行合同等一切事宜。</w:t>
      </w:r>
    </w:p>
    <w:p w14:paraId="31C4544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7DBF6FC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6104E5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附件：授权代表有效的身份证复印件（身份证两面均应复印）。供应商的授权代表为外籍人士的，则需提供护照复印件。</w:t>
      </w:r>
    </w:p>
    <w:p w14:paraId="59333456">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0F3A0FE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299473E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14FAB3A">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法定代表人/单位负责人：（签字或者加盖个人名章 ）                       </w:t>
      </w:r>
    </w:p>
    <w:p w14:paraId="53090E1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72EA58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BEB546B">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3DCC5BA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76D2CA95">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1612D233">
      <w:pPr>
        <w:pageBreakBefore w:val="0"/>
        <w:kinsoku/>
        <w:wordWrap w:val="0"/>
        <w:overflowPunct/>
        <w:topLinePunct w:val="0"/>
        <w:bidi w:val="0"/>
        <w:spacing w:line="360" w:lineRule="auto"/>
        <w:jc w:val="left"/>
        <w:rPr>
          <w:rFonts w:ascii="仿宋" w:hAnsi="仿宋" w:eastAsia="仿宋" w:cs="仿宋"/>
          <w:b/>
          <w:color w:val="000000" w:themeColor="text1"/>
          <w:sz w:val="22"/>
          <w:highlight w:val="none"/>
          <w14:textFill>
            <w14:solidFill>
              <w14:schemeClr w14:val="tx1"/>
            </w14:solidFill>
          </w14:textFill>
        </w:rPr>
      </w:pPr>
    </w:p>
    <w:p w14:paraId="0A59D9F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注：</w:t>
      </w:r>
    </w:p>
    <w:p w14:paraId="4D12CECA">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1、供应商为法人单位时提供“法定代表人授权书”，供应商为其他组织时提供“单位负责人授权书”，供应商为自然人时提供“自然人身份证明材料”。</w:t>
      </w:r>
    </w:p>
    <w:p w14:paraId="2291B857">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2、身份证明材料包括居民身份证和其他法定有效证明。</w:t>
      </w:r>
    </w:p>
    <w:p w14:paraId="76733389">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3、身份证明材料应同时提供其在有效期的材料，如居民身份证正、反面复印件。</w:t>
      </w:r>
    </w:p>
    <w:p w14:paraId="0A32BE63">
      <w:pPr>
        <w:pageBreakBefore w:val="0"/>
        <w:kinsoku/>
        <w:wordWrap w:val="0"/>
        <w:overflowPunct/>
        <w:topLinePunct w:val="0"/>
        <w:bidi w:val="0"/>
        <w:spacing w:line="360" w:lineRule="auto"/>
        <w:ind w:firstLine="442"/>
        <w:jc w:val="left"/>
        <w:rPr>
          <w:rFonts w:ascii="仿宋" w:hAnsi="仿宋" w:eastAsia="仿宋" w:cs="仿宋"/>
          <w:b/>
          <w:color w:val="000000" w:themeColor="text1"/>
          <w:sz w:val="32"/>
          <w:szCs w:val="32"/>
          <w:highlight w:val="none"/>
          <w14:textFill>
            <w14:solidFill>
              <w14:schemeClr w14:val="tx1"/>
            </w14:solidFill>
          </w14:textFill>
        </w:rPr>
        <w:sectPr>
          <w:headerReference r:id="rId10" w:type="default"/>
          <w:footerReference r:id="rId11" w:type="default"/>
          <w:pgSz w:w="11911" w:h="16838"/>
          <w:pgMar w:top="1440" w:right="1797" w:bottom="1440" w:left="1797" w:header="851" w:footer="992" w:gutter="0"/>
          <w:cols w:space="720" w:num="1"/>
        </w:sectPr>
      </w:pPr>
      <w:r>
        <w:rPr>
          <w:rFonts w:hint="eastAsia" w:ascii="仿宋" w:hAnsi="仿宋" w:eastAsia="仿宋" w:cs="仿宋"/>
          <w:b/>
          <w:color w:val="000000" w:themeColor="text1"/>
          <w:sz w:val="22"/>
          <w:highlight w:val="none"/>
          <w14:textFill>
            <w14:solidFill>
              <w14:schemeClr w14:val="tx1"/>
            </w14:solidFill>
          </w14:textFill>
        </w:rPr>
        <w:t>4、响应文件均由供应商法定代表人/单位负责人签字的，响应文件中可不提供该附件的内容。</w:t>
      </w:r>
    </w:p>
    <w:p w14:paraId="1EA1EFEB">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格式1-3</w:t>
      </w:r>
    </w:p>
    <w:p w14:paraId="52B2F07D">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77" w:name="_Toc2380"/>
      <w:bookmarkStart w:id="78" w:name="_Toc180954169"/>
      <w:bookmarkStart w:id="79" w:name="_Toc180954122"/>
      <w:r>
        <w:rPr>
          <w:rFonts w:hint="eastAsia" w:ascii="仿宋" w:hAnsi="仿宋" w:eastAsia="仿宋" w:cs="仿宋"/>
          <w:b/>
          <w:color w:val="000000" w:themeColor="text1"/>
          <w:sz w:val="32"/>
          <w:szCs w:val="32"/>
          <w:highlight w:val="none"/>
          <w14:textFill>
            <w14:solidFill>
              <w14:schemeClr w14:val="tx1"/>
            </w14:solidFill>
          </w14:textFill>
        </w:rPr>
        <w:t>三、承诺函</w:t>
      </w:r>
      <w:bookmarkEnd w:id="77"/>
      <w:bookmarkEnd w:id="78"/>
      <w:bookmarkEnd w:id="79"/>
    </w:p>
    <w:p w14:paraId="0E5BC09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60C74155">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280106DC">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8DFB5D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5CBA0C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1E731A4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8E1D4B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5.参加本次采购活动前三年内，在经营活动中没有重大违法记录；</w:t>
      </w:r>
    </w:p>
    <w:p w14:paraId="4435564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9C9F6C9">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7.我单位及我单位法定代表人、主要负责人近三年内不具有行贿犯罪记录。</w:t>
      </w:r>
    </w:p>
    <w:p w14:paraId="442C775D">
      <w:pPr>
        <w:wordWrap w:val="0"/>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.我单位未被列入失信被执行人、重大税收违法案件当事人名单、政府采购严重违法失信行为记录名单。</w:t>
      </w:r>
    </w:p>
    <w:p w14:paraId="153052F0">
      <w:pPr>
        <w:wordWrap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.我单位未与其他供应商组成联合体参加本项目</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活动</w:t>
      </w:r>
      <w:r>
        <w:rPr>
          <w:rFonts w:hint="eastAsia" w:ascii="仿宋" w:hAnsi="仿宋" w:eastAsia="仿宋" w:cs="仿宋"/>
          <w:color w:val="000000" w:themeColor="text1"/>
          <w:sz w:val="24"/>
          <w:szCs w:val="24"/>
          <w:highlight w:val="none"/>
          <w14:textFill>
            <w14:solidFill>
              <w14:schemeClr w14:val="tx1"/>
            </w14:solidFill>
          </w14:textFill>
        </w:rPr>
        <w:t>。</w:t>
      </w:r>
    </w:p>
    <w:p w14:paraId="743627FB">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本公司对上述承诺的内容事项真实性负责。如经查实上述承诺的内容事项存在虚假，我公司愿意接受以提供虚假材料谋取成交追究法律责任。</w:t>
      </w:r>
    </w:p>
    <w:p w14:paraId="20101EA2">
      <w:pPr>
        <w:pageBreakBefore w:val="0"/>
        <w:kinsoku/>
        <w:wordWrap w:val="0"/>
        <w:overflowPunct/>
        <w:topLinePunct w:val="0"/>
        <w:bidi w:val="0"/>
        <w:spacing w:line="360" w:lineRule="auto"/>
        <w:ind w:firstLine="560"/>
        <w:jc w:val="left"/>
        <w:rPr>
          <w:rFonts w:ascii="仿宋" w:hAnsi="仿宋" w:eastAsia="仿宋" w:cs="仿宋"/>
          <w:color w:val="000000" w:themeColor="text1"/>
          <w:sz w:val="28"/>
          <w:szCs w:val="28"/>
          <w:highlight w:val="none"/>
          <w14:textFill>
            <w14:solidFill>
              <w14:schemeClr w14:val="tx1"/>
            </w14:solidFill>
          </w14:textFill>
        </w:rPr>
      </w:pPr>
    </w:p>
    <w:p w14:paraId="28CCDF2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47697F3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2D2C4F7">
      <w:pPr>
        <w:pageBreakBefore w:val="0"/>
        <w:kinsoku/>
        <w:wordWrap w:val="0"/>
        <w:overflowPunct/>
        <w:topLinePunct w:val="0"/>
        <w:bidi w:val="0"/>
        <w:spacing w:line="360" w:lineRule="auto"/>
        <w:jc w:val="left"/>
        <w:rPr>
          <w:rFonts w:hint="eastAsia" w:ascii="仿宋" w:hAnsi="仿宋" w:eastAsia="仿宋" w:cs="仿宋"/>
          <w:color w:val="000000" w:themeColor="text1"/>
          <w:sz w:val="24"/>
          <w:highlight w:val="none"/>
          <w14:textFill>
            <w14:solidFill>
              <w14:schemeClr w14:val="tx1"/>
            </w14:solidFill>
          </w14:textFill>
        </w:rPr>
        <w:sectPr>
          <w:headerReference r:id="rId12"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84D5576">
      <w:pPr>
        <w:pStyle w:val="30"/>
        <w:pageBreakBefore w:val="0"/>
        <w:kinsoku/>
        <w:wordWrap w:val="0"/>
        <w:overflowPunct/>
        <w:topLinePunct w:val="0"/>
        <w:bidi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420996BC">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0" w:name="_Toc180954123"/>
      <w:bookmarkStart w:id="81" w:name="_Toc14409"/>
      <w:bookmarkStart w:id="82" w:name="_Toc180954170"/>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、供应商其他资格相关证明材料</w:t>
      </w:r>
      <w:bookmarkEnd w:id="80"/>
      <w:bookmarkEnd w:id="81"/>
      <w:bookmarkEnd w:id="82"/>
    </w:p>
    <w:p w14:paraId="16B26971">
      <w:pPr>
        <w:pageBreakBefore w:val="0"/>
        <w:kinsoku/>
        <w:wordWrap w:val="0"/>
        <w:overflowPunct/>
        <w:topLinePunct w:val="0"/>
        <w:bidi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3EA10D42">
      <w:pPr>
        <w:pageBreakBefore w:val="0"/>
        <w:kinsoku/>
        <w:wordWrap w:val="0"/>
        <w:overflowPunct/>
        <w:topLinePunct w:val="0"/>
        <w:bidi w:val="0"/>
        <w:spacing w:line="360" w:lineRule="auto"/>
        <w:ind w:left="422" w:hanging="422"/>
        <w:jc w:val="left"/>
        <w:rPr>
          <w:rFonts w:ascii="仿宋" w:hAnsi="仿宋" w:eastAsia="仿宋" w:cs="仿宋"/>
          <w:b/>
          <w:color w:val="000000" w:themeColor="text1"/>
          <w:sz w:val="28"/>
          <w:szCs w:val="28"/>
          <w:highlight w:val="none"/>
          <w14:textFill>
            <w14:solidFill>
              <w14:schemeClr w14:val="tx1"/>
            </w14:solidFill>
          </w14:textFill>
        </w:rPr>
        <w:sectPr>
          <w:pgSz w:w="11911" w:h="16838"/>
          <w:pgMar w:top="1440" w:right="1797" w:bottom="1440" w:left="1797" w:header="851" w:footer="992" w:gutter="0"/>
          <w:cols w:space="720" w:num="1"/>
        </w:sectPr>
      </w:pPr>
      <w:r>
        <w:rPr>
          <w:rFonts w:hint="eastAsia" w:ascii="仿宋" w:hAnsi="仿宋" w:eastAsia="仿宋" w:cs="仿宋"/>
          <w:b/>
          <w:color w:val="000000" w:themeColor="text1"/>
          <w:szCs w:val="21"/>
          <w:highlight w:val="none"/>
          <w14:textFill>
            <w14:solidFill>
              <w14:schemeClr w14:val="tx1"/>
            </w14:solidFill>
          </w14:textFill>
        </w:rPr>
        <w:t>注：供应商应按照采购文件第五章相关要求提供佐证材料，有格式要求的从其要求，无格式要求的格式自拟。</w:t>
      </w:r>
    </w:p>
    <w:p w14:paraId="29F37FF3">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pPr>
    </w:p>
    <w:p w14:paraId="5105703F">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sectPr>
          <w:headerReference r:id="rId13" w:type="default"/>
          <w:footerReference r:id="rId14" w:type="default"/>
          <w:type w:val="continuous"/>
          <w:pgSz w:w="11911" w:h="16838"/>
          <w:pgMar w:top="1440" w:right="1797" w:bottom="1440" w:left="1797" w:header="851" w:footer="992" w:gutter="0"/>
          <w:cols w:space="720" w:num="1"/>
        </w:sectPr>
      </w:pPr>
    </w:p>
    <w:p w14:paraId="61460A73">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pPr>
    </w:p>
    <w:p w14:paraId="1B3E2A0E">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sectPr>
          <w:type w:val="continuous"/>
          <w:pgSz w:w="11911" w:h="16838"/>
          <w:pgMar w:top="1440" w:right="1797" w:bottom="1440" w:left="1797" w:header="851" w:footer="992" w:gutter="0"/>
          <w:cols w:space="720" w:num="1"/>
        </w:sectPr>
      </w:pPr>
    </w:p>
    <w:p w14:paraId="2FE5FCF1">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pPr>
    </w:p>
    <w:p w14:paraId="2BDD673C">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sectPr>
          <w:headerReference r:id="rId15" w:type="default"/>
          <w:footerReference r:id="rId16" w:type="default"/>
          <w:pgSz w:w="11911" w:h="16838"/>
          <w:pgMar w:top="1440" w:right="1797" w:bottom="1440" w:left="1797" w:header="851" w:footer="992" w:gutter="0"/>
          <w:cols w:space="720" w:num="1"/>
        </w:sectPr>
      </w:pPr>
    </w:p>
    <w:p w14:paraId="66EAC100">
      <w:pPr>
        <w:pageBreakBefore w:val="0"/>
        <w:kinsoku/>
        <w:wordWrap w:val="0"/>
        <w:overflowPunct/>
        <w:topLinePunct w:val="0"/>
        <w:bidi w:val="0"/>
        <w:spacing w:line="360" w:lineRule="auto"/>
        <w:jc w:val="center"/>
        <w:rPr>
          <w:rFonts w:ascii="仿宋" w:hAnsi="仿宋" w:eastAsia="仿宋" w:cs="仿宋"/>
          <w:b/>
          <w:color w:val="000000" w:themeColor="text1"/>
          <w:w w:val="180"/>
          <w:sz w:val="34"/>
          <w:szCs w:val="34"/>
          <w:highlight w:val="none"/>
          <w14:textFill>
            <w14:solidFill>
              <w14:schemeClr w14:val="tx1"/>
            </w14:solidFill>
          </w14:textFill>
        </w:rPr>
      </w:pPr>
      <w:r>
        <w:rPr>
          <w:rFonts w:hint="eastAsia" w:ascii="仿宋" w:hAnsi="仿宋" w:eastAsia="仿宋" w:cs="仿宋"/>
          <w:b/>
          <w:color w:val="000000" w:themeColor="text1"/>
          <w:sz w:val="34"/>
          <w:szCs w:val="34"/>
          <w:highlight w:val="none"/>
          <w14:textFill>
            <w14:solidFill>
              <w14:schemeClr w14:val="tx1"/>
            </w14:solidFill>
          </w14:textFill>
        </w:rPr>
        <w:t>（响应文件分资格性响应文件和技术、服务性响应文件两部分，应分册装订密封）</w:t>
      </w:r>
    </w:p>
    <w:p w14:paraId="1CA0EA7F">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17106C9">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p>
    <w:p w14:paraId="59E13FA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sz w:val="36"/>
          <w:szCs w:val="20"/>
          <w:highlight w:val="none"/>
          <w14:textFill>
            <w14:solidFill>
              <w14:schemeClr w14:val="tx1"/>
            </w14:solidFill>
          </w14:textFill>
        </w:rPr>
      </w:pPr>
      <w:bookmarkStart w:id="83" w:name="_Toc14375"/>
      <w:bookmarkEnd w:id="83"/>
      <w:bookmarkStart w:id="84" w:name="_Toc180954171"/>
      <w:bookmarkStart w:id="85" w:name="_Toc180954124"/>
      <w:bookmarkStart w:id="86" w:name="_Toc29302"/>
      <w:r>
        <w:rPr>
          <w:rFonts w:hint="eastAsia" w:ascii="仿宋" w:hAnsi="仿宋" w:eastAsia="仿宋" w:cs="仿宋"/>
          <w:b/>
          <w:color w:val="000000" w:themeColor="text1"/>
          <w:kern w:val="1"/>
          <w:sz w:val="52"/>
          <w:szCs w:val="52"/>
          <w:highlight w:val="none"/>
          <w14:textFill>
            <w14:solidFill>
              <w14:schemeClr w14:val="tx1"/>
            </w14:solidFill>
          </w14:textFill>
        </w:rPr>
        <w:t>第二部分  技术、服务性响应文件</w:t>
      </w:r>
      <w:bookmarkEnd w:id="84"/>
      <w:bookmarkEnd w:id="85"/>
      <w:bookmarkEnd w:id="86"/>
    </w:p>
    <w:p w14:paraId="22630101">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567EEB5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13B7CC1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028387C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520787B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314700C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9623255">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E450EBD">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A687721">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14:textFill>
            <w14:solidFill>
              <w14:schemeClr w14:val="tx1"/>
            </w14:solidFill>
          </w14:textFill>
        </w:rPr>
        <w:sectPr>
          <w:headerReference r:id="rId17" w:type="default"/>
          <w:footerReference r:id="rId18" w:type="default"/>
          <w:type w:val="continuous"/>
          <w:pgSz w:w="11911" w:h="16838"/>
          <w:pgMar w:top="1440" w:right="1797" w:bottom="1440" w:left="1797" w:header="851" w:footer="992" w:gutter="0"/>
          <w:cols w:space="720" w:num="1"/>
        </w:sectPr>
      </w:pPr>
      <w:r>
        <w:rPr>
          <w:rFonts w:hint="eastAsia" w:ascii="仿宋" w:hAnsi="仿宋" w:eastAsia="仿宋" w:cs="仿宋"/>
          <w:b/>
          <w:color w:val="000000" w:themeColor="text1"/>
          <w:sz w:val="28"/>
          <w:szCs w:val="28"/>
          <w:highlight w:val="none"/>
          <w14:textFill>
            <w14:solidFill>
              <w14:schemeClr w14:val="tx1"/>
            </w14:solidFill>
          </w14:textFill>
        </w:rPr>
        <w:t>日期 ：2025年 月 日</w:t>
      </w:r>
    </w:p>
    <w:p w14:paraId="067D1369">
      <w:pPr>
        <w:pageBreakBefore w:val="0"/>
        <w:kinsoku/>
        <w:wordWrap w:val="0"/>
        <w:overflowPunct/>
        <w:topLinePunct w:val="0"/>
        <w:bidi w:val="0"/>
        <w:spacing w:line="360" w:lineRule="auto"/>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格式2-1</w:t>
      </w:r>
    </w:p>
    <w:p w14:paraId="0C57E487">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87" w:name="_Toc15129"/>
      <w:bookmarkEnd w:id="87"/>
      <w:bookmarkStart w:id="88" w:name="_Toc13679"/>
      <w:bookmarkStart w:id="89" w:name="_Toc180954125"/>
      <w:bookmarkStart w:id="90" w:name="_Toc180954172"/>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32"/>
          <w:highlight w:val="none"/>
          <w:lang w:eastAsia="en-US"/>
          <w14:textFill>
            <w14:solidFill>
              <w14:schemeClr w14:val="tx1"/>
            </w14:solidFill>
          </w14:textFill>
        </w:rPr>
        <w:t>函</w:t>
      </w:r>
      <w:bookmarkEnd w:id="88"/>
      <w:bookmarkEnd w:id="89"/>
      <w:bookmarkEnd w:id="90"/>
    </w:p>
    <w:p w14:paraId="27D62C2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0E7A80A1">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我方全面研究了 “</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文件（采购项目编号：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），决定参加贵单位组织的本项目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。我方授权</w:t>
      </w:r>
      <w:r>
        <w:rPr>
          <w:rFonts w:hint="eastAsia" w:ascii="仿宋" w:hAnsi="仿宋" w:eastAsia="仿宋" w:cs="仿宋"/>
          <w:color w:val="000000" w:themeColor="text1"/>
          <w:sz w:val="24"/>
          <w:highlight w:val="none"/>
          <w:u w:val="single"/>
          <w14:textFill>
            <w14:solidFill>
              <w14:schemeClr w14:val="tx1"/>
            </w14:solidFill>
          </w14:textFill>
        </w:rPr>
        <w:t xml:space="preserve">           （姓名、职务）</w:t>
      </w:r>
      <w:r>
        <w:rPr>
          <w:rFonts w:hint="eastAsia" w:ascii="仿宋" w:hAnsi="仿宋" w:eastAsia="仿宋" w:cs="仿宋"/>
          <w:color w:val="000000" w:themeColor="text1"/>
          <w:sz w:val="24"/>
          <w:highlight w:val="none"/>
          <w14:textFill>
            <w14:solidFill>
              <w14:schemeClr w14:val="tx1"/>
            </w14:solidFill>
          </w14:textFill>
        </w:rPr>
        <w:t>代表我方</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w:t>
      </w:r>
      <w:r>
        <w:rPr>
          <w:rFonts w:hint="eastAsia" w:ascii="仿宋" w:hAnsi="仿宋" w:eastAsia="仿宋" w:cs="仿宋"/>
          <w:color w:val="000000" w:themeColor="text1"/>
          <w:sz w:val="24"/>
          <w:highlight w:val="none"/>
          <w14:textFill>
            <w14:solidFill>
              <w14:schemeClr w14:val="tx1"/>
            </w14:solidFill>
          </w14:textFill>
        </w:rPr>
        <w:t>全权处理本项目的有关事宜。</w:t>
      </w:r>
    </w:p>
    <w:p w14:paraId="44D74BCA">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1"/>
          <w:sz w:val="24"/>
          <w:highlight w:val="none"/>
          <w14:textFill>
            <w14:solidFill>
              <w14:schemeClr w14:val="tx1"/>
            </w14:solidFill>
          </w14:textFill>
        </w:rPr>
        <w:t>我方自愿按照</w:t>
      </w:r>
      <w:r>
        <w:rPr>
          <w:rFonts w:hint="eastAsia" w:ascii="仿宋" w:hAnsi="仿宋" w:eastAsia="仿宋" w:cs="仿宋"/>
          <w:color w:val="000000" w:themeColor="text1"/>
          <w:kern w:val="1"/>
          <w:sz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highlight w:val="none"/>
          <w14:textFill>
            <w14:solidFill>
              <w14:schemeClr w14:val="tx1"/>
            </w14:solidFill>
          </w14:textFill>
        </w:rPr>
        <w:t>文件规定的各项要求向采购人提供所需货物/服务/工程。</w:t>
      </w:r>
    </w:p>
    <w:p w14:paraId="08C61886">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2、一旦我方成交，我方将严格履行采购合同规定的责任和义务，否则将承担由此产生的一切责任。</w:t>
      </w:r>
    </w:p>
    <w:p w14:paraId="297FCDC5">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3、我方为本项目提交的响应文件正本1份，副本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5401F064">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4、我方同意本次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有效期为</w:t>
      </w:r>
      <w:r>
        <w:rPr>
          <w:rFonts w:hint="eastAsia" w:ascii="仿宋" w:hAnsi="仿宋" w:eastAsia="仿宋" w:cs="仿宋"/>
          <w:color w:val="000000" w:themeColor="text1"/>
          <w:kern w:val="1"/>
          <w:sz w:val="24"/>
          <w:szCs w:val="24"/>
          <w:highlight w:val="none"/>
          <w14:textFill>
            <w14:solidFill>
              <w14:schemeClr w14:val="tx1"/>
            </w14:solidFill>
          </w14:textFill>
        </w:rPr>
        <w:t>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w:t>
      </w:r>
      <w:r>
        <w:rPr>
          <w:rFonts w:hint="eastAsia" w:ascii="仿宋" w:hAnsi="仿宋" w:eastAsia="仿宋" w:cs="仿宋"/>
          <w:color w:val="000000" w:themeColor="text1"/>
          <w:kern w:val="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1"/>
          <w:sz w:val="24"/>
          <w:szCs w:val="24"/>
          <w:highlight w:val="none"/>
          <w14:textFill>
            <w14:solidFill>
              <w14:schemeClr w14:val="tx1"/>
            </w14:solidFill>
          </w14:textFill>
        </w:rPr>
        <w:t>天</w:t>
      </w:r>
      <w:r>
        <w:rPr>
          <w:rFonts w:hint="eastAsia" w:ascii="仿宋" w:hAnsi="仿宋" w:eastAsia="仿宋" w:cs="仿宋"/>
          <w:color w:val="000000" w:themeColor="text1"/>
          <w:sz w:val="24"/>
          <w:highlight w:val="none"/>
          <w14:textFill>
            <w14:solidFill>
              <w14:schemeClr w14:val="tx1"/>
            </w14:solidFill>
          </w14:textFill>
        </w:rPr>
        <w:t>。</w:t>
      </w:r>
    </w:p>
    <w:p w14:paraId="1D7BB7EB">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5、我方愿意提供贵单位可能另外要求的与</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有关的文件资料，并保证我方已提供和将要提供的文件资料是真实、准确的。</w:t>
      </w:r>
    </w:p>
    <w:p w14:paraId="47657EB8">
      <w:pPr>
        <w:pageBreakBefore w:val="0"/>
        <w:kinsoku/>
        <w:wordWrap w:val="0"/>
        <w:overflowPunct/>
        <w:topLinePunct w:val="0"/>
        <w:bidi w:val="0"/>
        <w:spacing w:line="360" w:lineRule="auto"/>
        <w:ind w:left="420" w:firstLine="240" w:firstLine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6、我单位联系方式：</w:t>
      </w:r>
    </w:p>
    <w:p w14:paraId="473F5ACA">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263E723D">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p>
    <w:p w14:paraId="503C08FF">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6882A4DE">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传真： </w:t>
      </w:r>
    </w:p>
    <w:p w14:paraId="31190BA1">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p w14:paraId="07DF9A0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2701A83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03A9D97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EA2E913">
      <w:pPr>
        <w:pageBreakBefore w:val="0"/>
        <w:kinsoku/>
        <w:wordWrap w:val="0"/>
        <w:overflowPunct/>
        <w:topLinePunct w:val="0"/>
        <w:bidi w:val="0"/>
        <w:spacing w:line="360" w:lineRule="auto"/>
        <w:rPr>
          <w:rFonts w:ascii="仿宋" w:hAnsi="仿宋" w:eastAsia="仿宋" w:cs="仿宋"/>
          <w:color w:val="000000" w:themeColor="text1"/>
          <w:kern w:val="1"/>
          <w:sz w:val="24"/>
          <w:highlight w:val="none"/>
          <w14:textFill>
            <w14:solidFill>
              <w14:schemeClr w14:val="tx1"/>
            </w14:solidFill>
          </w14:textFill>
        </w:rPr>
        <w:sectPr>
          <w:headerReference r:id="rId19" w:type="default"/>
          <w:footerReference r:id="rId20"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4DE8F2C4">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格式2-2</w:t>
      </w:r>
    </w:p>
    <w:p w14:paraId="51A16FB1">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1" w:name="_Toc24708"/>
      <w:bookmarkEnd w:id="91"/>
      <w:bookmarkStart w:id="92" w:name="_Toc818"/>
      <w:bookmarkStart w:id="93" w:name="_Toc180954126"/>
      <w:bookmarkStart w:id="94" w:name="_Toc180954173"/>
      <w:r>
        <w:rPr>
          <w:rFonts w:hint="eastAsia" w:ascii="仿宋" w:hAnsi="仿宋" w:eastAsia="仿宋" w:cs="仿宋"/>
          <w:b/>
          <w:color w:val="000000" w:themeColor="text1"/>
          <w:sz w:val="32"/>
          <w:szCs w:val="32"/>
          <w:highlight w:val="none"/>
          <w:lang w:eastAsia="en-US"/>
          <w14:textFill>
            <w14:solidFill>
              <w14:schemeClr w14:val="tx1"/>
            </w14:solidFill>
          </w14:textFill>
        </w:rPr>
        <w:t>承诺函</w:t>
      </w:r>
      <w:bookmarkEnd w:id="92"/>
      <w:bookmarkEnd w:id="93"/>
      <w:bookmarkEnd w:id="94"/>
    </w:p>
    <w:p w14:paraId="2F2E86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7F4C4614">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3BC8EAAE">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一、完全接受和满足本项目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文件中规定的实质性要求，如对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文件有异议，已依法进行维权救济，不存在对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文件有异议的同时又参加</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以求侥幸成交或者为实现其他非法目的的行为。</w:t>
      </w:r>
    </w:p>
    <w:p w14:paraId="16FE7373">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72CD5412">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采购活动，不存在和其他供应商在同一合同项下的采购项目中，同时委托同一个自然人、同一家庭的人员、同一单位的人员作为代理人的行为。</w:t>
      </w:r>
    </w:p>
    <w:p w14:paraId="07471FD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四、不发生任何串通与项目有关的相关单位，损害采购人及利益的行为。</w:t>
      </w:r>
    </w:p>
    <w:p w14:paraId="47F79F4B">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92725BF">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3D4675D">
      <w:pPr>
        <w:pageBreakBefore w:val="0"/>
        <w:kinsoku/>
        <w:wordWrap w:val="0"/>
        <w:overflowPunct/>
        <w:topLinePunct w:val="0"/>
        <w:bidi w:val="0"/>
        <w:spacing w:line="360" w:lineRule="auto"/>
        <w:jc w:val="left"/>
        <w:rPr>
          <w:rFonts w:ascii="仿宋" w:hAnsi="仿宋" w:eastAsia="仿宋" w:cs="仿宋"/>
          <w:color w:val="000000" w:themeColor="text1"/>
          <w:sz w:val="22"/>
          <w:highlight w:val="none"/>
          <w14:textFill>
            <w14:solidFill>
              <w14:schemeClr w14:val="tx1"/>
            </w14:solidFill>
          </w14:textFill>
        </w:rPr>
      </w:pPr>
    </w:p>
    <w:p w14:paraId="3389965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7033D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8BD5EE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sectPr>
          <w:headerReference r:id="rId21" w:type="default"/>
          <w:footerReference r:id="rId22"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6AD8D7EC">
      <w:pPr>
        <w:pageBreakBefore w:val="0"/>
        <w:kinsoku/>
        <w:wordWrap w:val="0"/>
        <w:overflowPunct/>
        <w:topLinePunct w:val="0"/>
        <w:bidi w:val="0"/>
        <w:spacing w:line="360" w:lineRule="auto"/>
        <w:jc w:val="left"/>
        <w:rPr>
          <w:rFonts w:hint="eastAsia" w:ascii="仿宋" w:hAnsi="仿宋" w:eastAsia="仿宋" w:cs="仿宋"/>
          <w:b/>
          <w:color w:val="000000" w:themeColor="text1"/>
          <w:highlight w:val="none"/>
          <w:lang w:eastAsia="zh-CN"/>
          <w14:textFill>
            <w14:solidFill>
              <w14:schemeClr w14:val="tx1"/>
            </w14:solidFill>
          </w14:textFill>
        </w:rPr>
      </w:pPr>
      <w:bookmarkStart w:id="95" w:name="_Toc6637"/>
      <w:bookmarkEnd w:id="95"/>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p>
    <w:p w14:paraId="244EE454">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96" w:name="_Toc180954176"/>
      <w:bookmarkStart w:id="97" w:name="_Toc180954129"/>
      <w:bookmarkStart w:id="98" w:name="_Toc16838"/>
      <w:r>
        <w:rPr>
          <w:rFonts w:hint="eastAsia" w:ascii="仿宋" w:hAnsi="仿宋" w:eastAsia="仿宋" w:cs="仿宋"/>
          <w:b/>
          <w:color w:val="000000" w:themeColor="text1"/>
          <w:sz w:val="32"/>
          <w:szCs w:val="32"/>
          <w:highlight w:val="none"/>
          <w14:textFill>
            <w14:solidFill>
              <w14:schemeClr w14:val="tx1"/>
            </w14:solidFill>
          </w14:textFill>
        </w:rPr>
        <w:t>供应商基本情况表</w:t>
      </w:r>
      <w:bookmarkEnd w:id="96"/>
      <w:bookmarkEnd w:id="97"/>
      <w:bookmarkEnd w:id="98"/>
    </w:p>
    <w:tbl>
      <w:tblPr>
        <w:tblStyle w:val="80"/>
        <w:tblpPr w:leftFromText="180" w:rightFromText="180" w:vertAnchor="text" w:horzAnchor="page" w:tblpX="1760" w:tblpY="354"/>
        <w:tblOverlap w:val="never"/>
        <w:tblW w:w="8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166"/>
        <w:gridCol w:w="1208"/>
        <w:gridCol w:w="1432"/>
        <w:gridCol w:w="248"/>
        <w:gridCol w:w="602"/>
        <w:gridCol w:w="1378"/>
      </w:tblGrid>
      <w:tr w14:paraId="48C394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noWrap/>
            <w:vAlign w:val="center"/>
          </w:tcPr>
          <w:p w14:paraId="2B1BB0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lang w:eastAsia="en-US"/>
                <w14:textFill>
                  <w14:solidFill>
                    <w14:schemeClr w14:val="tx1"/>
                  </w14:solidFill>
                </w14:textFill>
              </w:rPr>
              <w:t>名称</w:t>
            </w:r>
          </w:p>
        </w:tc>
        <w:tc>
          <w:tcPr>
            <w:tcW w:w="6991" w:type="dxa"/>
            <w:gridSpan w:val="7"/>
            <w:tcBorders>
              <w:top w:val="single" w:color="auto" w:sz="18" w:space="0"/>
              <w:left w:val="single" w:color="auto" w:sz="6" w:space="0"/>
              <w:bottom w:val="single" w:color="auto" w:sz="6" w:space="0"/>
              <w:right w:val="single" w:color="auto" w:sz="18" w:space="0"/>
            </w:tcBorders>
            <w:noWrap/>
            <w:vAlign w:val="center"/>
          </w:tcPr>
          <w:p w14:paraId="13F8473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90451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E48781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注册地址</w:t>
            </w:r>
          </w:p>
        </w:tc>
        <w:tc>
          <w:tcPr>
            <w:tcW w:w="3331" w:type="dxa"/>
            <w:gridSpan w:val="3"/>
            <w:tcBorders>
              <w:top w:val="single" w:color="auto" w:sz="6" w:space="0"/>
              <w:left w:val="single" w:color="auto" w:sz="6" w:space="0"/>
              <w:bottom w:val="single" w:color="auto" w:sz="6" w:space="0"/>
              <w:right w:val="single" w:color="auto" w:sz="6" w:space="0"/>
            </w:tcBorders>
            <w:noWrap/>
            <w:vAlign w:val="center"/>
          </w:tcPr>
          <w:p w14:paraId="65F9207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C24EC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邮政编码</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113DA7B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032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noWrap/>
            <w:vAlign w:val="center"/>
          </w:tcPr>
          <w:p w14:paraId="6750B6C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联系方式</w:t>
            </w:r>
          </w:p>
        </w:tc>
        <w:tc>
          <w:tcPr>
            <w:tcW w:w="957" w:type="dxa"/>
            <w:tcBorders>
              <w:top w:val="single" w:color="auto" w:sz="6" w:space="0"/>
              <w:left w:val="single" w:color="auto" w:sz="6" w:space="0"/>
              <w:bottom w:val="single" w:color="auto" w:sz="6" w:space="0"/>
              <w:right w:val="single" w:color="auto" w:sz="6" w:space="0"/>
            </w:tcBorders>
            <w:noWrap/>
            <w:vAlign w:val="center"/>
          </w:tcPr>
          <w:p w14:paraId="4BA02F1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联系人</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3DF29C5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7A2F56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78585C7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7F9CE2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noWrap/>
            <w:vAlign w:val="center"/>
          </w:tcPr>
          <w:p w14:paraId="4CB84D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957" w:type="dxa"/>
            <w:tcBorders>
              <w:top w:val="single" w:color="auto" w:sz="6" w:space="0"/>
              <w:left w:val="single" w:color="auto" w:sz="6" w:space="0"/>
              <w:bottom w:val="single" w:color="auto" w:sz="6" w:space="0"/>
              <w:right w:val="single" w:color="auto" w:sz="6" w:space="0"/>
            </w:tcBorders>
            <w:noWrap/>
            <w:vAlign w:val="center"/>
          </w:tcPr>
          <w:p w14:paraId="31563F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传真</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6DDFB3B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50C8137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网址</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290DC55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F5350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47E27E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组织结构</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3C170B3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DDC3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B17D52D">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18269B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4E996A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2898A438">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483FA1D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5412C35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26B62B2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24C4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5CCA0DC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C9F0A4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175C11E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7FE245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57717C0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1BD081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03575DA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0FCB3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BD7512E">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成立时间</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184129A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4868" w:type="dxa"/>
            <w:gridSpan w:val="5"/>
            <w:tcBorders>
              <w:top w:val="single" w:color="auto" w:sz="6" w:space="0"/>
              <w:left w:val="single" w:color="auto" w:sz="6" w:space="0"/>
              <w:bottom w:val="single" w:color="auto" w:sz="6" w:space="0"/>
              <w:right w:val="single" w:color="auto" w:sz="18" w:space="0"/>
            </w:tcBorders>
            <w:noWrap/>
            <w:vAlign w:val="center"/>
          </w:tcPr>
          <w:p w14:paraId="2A3309B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员工总人数：</w:t>
            </w:r>
          </w:p>
        </w:tc>
      </w:tr>
      <w:tr w14:paraId="23091E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FA1520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企业资质等级</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399773F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restart"/>
            <w:tcBorders>
              <w:top w:val="single" w:color="auto" w:sz="6" w:space="0"/>
              <w:left w:val="single" w:color="auto" w:sz="6" w:space="0"/>
              <w:bottom w:val="single" w:color="auto" w:sz="6" w:space="0"/>
              <w:right w:val="single" w:color="auto" w:sz="6" w:space="0"/>
            </w:tcBorders>
            <w:noWrap/>
            <w:vAlign w:val="center"/>
          </w:tcPr>
          <w:p w14:paraId="1A61684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其中</w:t>
            </w: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8E410A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2DA25A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6D0F56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333144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营业执照号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01D3BD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685562C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E9EB54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3CC5F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30F79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1C03AA2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注册资金</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600A871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799E4D7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11F0918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653059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E3B2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1BC44B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开户银行</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20A154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2E127CD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1614DA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5B45B9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8DE19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2E6A231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账号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4B40519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02E0DEE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2DE1A0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技工</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F9F962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6FCB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005C8DC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经营范围</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406C7D5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23B8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22" w:type="dxa"/>
            <w:tcBorders>
              <w:top w:val="single" w:color="auto" w:sz="6" w:space="0"/>
              <w:left w:val="single" w:color="auto" w:sz="18" w:space="0"/>
              <w:bottom w:val="single" w:color="auto" w:sz="18" w:space="0"/>
              <w:right w:val="single" w:color="auto" w:sz="6" w:space="0"/>
            </w:tcBorders>
            <w:noWrap/>
          </w:tcPr>
          <w:p w14:paraId="452474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备注</w:t>
            </w:r>
          </w:p>
        </w:tc>
        <w:tc>
          <w:tcPr>
            <w:tcW w:w="6991" w:type="dxa"/>
            <w:gridSpan w:val="7"/>
            <w:tcBorders>
              <w:top w:val="single" w:color="auto" w:sz="6" w:space="0"/>
              <w:left w:val="single" w:color="auto" w:sz="6" w:space="0"/>
              <w:bottom w:val="single" w:color="auto" w:sz="18" w:space="0"/>
              <w:right w:val="single" w:color="auto" w:sz="18" w:space="0"/>
            </w:tcBorders>
            <w:noWrap/>
          </w:tcPr>
          <w:p w14:paraId="40831F3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bl>
    <w:p w14:paraId="7397BFEE">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2A0EDB6A">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1B9A587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3F2E5A7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C7573EC">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077A348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99" w:name="_Toc13585"/>
      <w:bookmarkStart w:id="100" w:name="_Toc180954130"/>
      <w:bookmarkStart w:id="101" w:name="_Toc180954177"/>
      <w:r>
        <w:rPr>
          <w:rFonts w:hint="eastAsia" w:ascii="仿宋" w:hAnsi="仿宋" w:eastAsia="仿宋" w:cs="仿宋"/>
          <w:b/>
          <w:color w:val="000000" w:themeColor="text1"/>
          <w:sz w:val="32"/>
          <w:szCs w:val="32"/>
          <w:highlight w:val="none"/>
          <w14:textFill>
            <w14:solidFill>
              <w14:schemeClr w14:val="tx1"/>
            </w14:solidFill>
          </w14:textFill>
        </w:rPr>
        <w:t>供应商本项目管理、技术、服务人员情况表</w:t>
      </w:r>
      <w:bookmarkEnd w:id="99"/>
      <w:bookmarkEnd w:id="100"/>
      <w:bookmarkEnd w:id="101"/>
    </w:p>
    <w:tbl>
      <w:tblPr>
        <w:tblStyle w:val="80"/>
        <w:tblpPr w:leftFromText="180" w:rightFromText="180" w:vertAnchor="text" w:horzAnchor="margin" w:tblpX="108" w:tblpY="35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10"/>
        <w:gridCol w:w="811"/>
        <w:gridCol w:w="811"/>
        <w:gridCol w:w="1239"/>
        <w:gridCol w:w="1232"/>
        <w:gridCol w:w="743"/>
        <w:gridCol w:w="846"/>
        <w:gridCol w:w="743"/>
      </w:tblGrid>
      <w:tr w14:paraId="71D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18E7D0E2">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类别</w:t>
            </w:r>
          </w:p>
        </w:tc>
        <w:tc>
          <w:tcPr>
            <w:tcW w:w="810" w:type="dxa"/>
            <w:vMerge w:val="restart"/>
            <w:noWrap/>
            <w:vAlign w:val="center"/>
          </w:tcPr>
          <w:p w14:paraId="4CDC16A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职务</w:t>
            </w:r>
          </w:p>
        </w:tc>
        <w:tc>
          <w:tcPr>
            <w:tcW w:w="811" w:type="dxa"/>
            <w:vMerge w:val="restart"/>
            <w:noWrap/>
            <w:vAlign w:val="center"/>
          </w:tcPr>
          <w:p w14:paraId="5C5DD96A">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姓名</w:t>
            </w:r>
          </w:p>
        </w:tc>
        <w:tc>
          <w:tcPr>
            <w:tcW w:w="811" w:type="dxa"/>
            <w:vMerge w:val="restart"/>
            <w:noWrap/>
            <w:vAlign w:val="center"/>
          </w:tcPr>
          <w:p w14:paraId="51964C6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职称</w:t>
            </w:r>
          </w:p>
        </w:tc>
        <w:tc>
          <w:tcPr>
            <w:tcW w:w="1239" w:type="dxa"/>
            <w:vMerge w:val="restart"/>
            <w:noWrap/>
            <w:vAlign w:val="center"/>
          </w:tcPr>
          <w:p w14:paraId="30F432F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常住地</w:t>
            </w:r>
          </w:p>
        </w:tc>
        <w:tc>
          <w:tcPr>
            <w:tcW w:w="3564" w:type="dxa"/>
            <w:gridSpan w:val="4"/>
            <w:noWrap/>
            <w:vAlign w:val="center"/>
          </w:tcPr>
          <w:p w14:paraId="0751A883">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资格证明（附复印件）</w:t>
            </w:r>
          </w:p>
        </w:tc>
      </w:tr>
      <w:tr w14:paraId="796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481D41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0" w:type="dxa"/>
            <w:vMerge w:val="continue"/>
            <w:noWrap/>
            <w:vAlign w:val="center"/>
          </w:tcPr>
          <w:p w14:paraId="23BBB08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74BF94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F9F9E7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9" w:type="dxa"/>
            <w:vMerge w:val="continue"/>
            <w:noWrap/>
            <w:vAlign w:val="center"/>
          </w:tcPr>
          <w:p w14:paraId="559BC2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2" w:type="dxa"/>
            <w:noWrap/>
            <w:vAlign w:val="center"/>
          </w:tcPr>
          <w:p w14:paraId="38A66D8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证书名称</w:t>
            </w:r>
          </w:p>
        </w:tc>
        <w:tc>
          <w:tcPr>
            <w:tcW w:w="743" w:type="dxa"/>
            <w:noWrap/>
            <w:vAlign w:val="center"/>
          </w:tcPr>
          <w:p w14:paraId="0512A3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级别</w:t>
            </w:r>
          </w:p>
        </w:tc>
        <w:tc>
          <w:tcPr>
            <w:tcW w:w="846" w:type="dxa"/>
            <w:noWrap/>
            <w:vAlign w:val="center"/>
          </w:tcPr>
          <w:p w14:paraId="0031579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证号</w:t>
            </w:r>
          </w:p>
        </w:tc>
        <w:tc>
          <w:tcPr>
            <w:tcW w:w="743" w:type="dxa"/>
            <w:noWrap/>
            <w:vAlign w:val="center"/>
          </w:tcPr>
          <w:p w14:paraId="17DFA98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专业</w:t>
            </w:r>
          </w:p>
        </w:tc>
      </w:tr>
      <w:tr w14:paraId="043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6E672E9F">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项目</w:t>
            </w:r>
          </w:p>
          <w:p w14:paraId="3AC0C4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管理</w:t>
            </w:r>
          </w:p>
          <w:p w14:paraId="4E7A0DD4">
            <w:pPr>
              <w:pageBreakBefore w:val="0"/>
              <w:kinsoku/>
              <w:wordWrap w:val="0"/>
              <w:overflowPunct/>
              <w:topLinePunct w:val="0"/>
              <w:bidi w:val="0"/>
              <w:spacing w:line="360" w:lineRule="auto"/>
              <w:jc w:val="cente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人员</w:t>
            </w:r>
          </w:p>
        </w:tc>
        <w:tc>
          <w:tcPr>
            <w:tcW w:w="810" w:type="dxa"/>
            <w:noWrap/>
          </w:tcPr>
          <w:p w14:paraId="5F5FF6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995292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F2F7E1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48421C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DB412C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40A802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FF4DD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828BE6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CCE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19DA536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96253B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E0DD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BD5F92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4A7721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6D2AF17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B85D18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7FF2D5B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13E485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6A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vAlign w:val="center"/>
          </w:tcPr>
          <w:p w14:paraId="5A9453B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55937A9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1458A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58D4608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71B7ADB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0D0AD3E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255F94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C909E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0A86B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29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3E1900D1">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技</w:t>
            </w:r>
          </w:p>
          <w:p w14:paraId="5064D5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术</w:t>
            </w:r>
          </w:p>
          <w:p w14:paraId="0230AAD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w:t>
            </w:r>
          </w:p>
          <w:p w14:paraId="0ECBD57D">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员</w:t>
            </w:r>
          </w:p>
        </w:tc>
        <w:tc>
          <w:tcPr>
            <w:tcW w:w="810" w:type="dxa"/>
            <w:noWrap/>
          </w:tcPr>
          <w:p w14:paraId="224AF0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783F83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98F94A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182D91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3C34E69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7D9602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596969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DE1D71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7DA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668E3C3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1629075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1836D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66534EB">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04CB13F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2515C39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0A0347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E7D33A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3189680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10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1E86A061">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DB8A8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E6BA9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D6C0B43">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A089BC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A2F464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057208E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2DEBA43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FFF484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38C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1631420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售后</w:t>
            </w:r>
          </w:p>
          <w:p w14:paraId="36A2812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服务</w:t>
            </w:r>
          </w:p>
          <w:p w14:paraId="083364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人员</w:t>
            </w:r>
          </w:p>
        </w:tc>
        <w:tc>
          <w:tcPr>
            <w:tcW w:w="810" w:type="dxa"/>
            <w:noWrap/>
          </w:tcPr>
          <w:p w14:paraId="45FD220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36CD8D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A94099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09C686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5CC6985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8F24D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25527C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53C38DD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5A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2BC4E9E7">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05603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55B1200">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1BDA58E4">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1C419ED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76E1E7D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29364B8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3344271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56DA7B98">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r w14:paraId="2ED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572B6A1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F9C6C4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41003E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531329A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4932EB2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5C879CA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647DC20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58DD739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0A9F6862">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bl>
    <w:p w14:paraId="159A133C">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p>
    <w:p w14:paraId="164DDCD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2007BF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D94CFC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5B5B29B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C2FA087">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101E616F">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p>
    <w:p w14:paraId="313FBC48">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2" w:name="_Toc500158952"/>
      <w:bookmarkEnd w:id="102"/>
      <w:bookmarkStart w:id="103" w:name="_Toc180954178"/>
      <w:bookmarkStart w:id="104" w:name="_Toc180954131"/>
      <w:bookmarkStart w:id="105" w:name="_Toc23626"/>
      <w:r>
        <w:rPr>
          <w:rFonts w:hint="eastAsia" w:ascii="仿宋" w:hAnsi="仿宋" w:eastAsia="仿宋" w:cs="仿宋"/>
          <w:b/>
          <w:color w:val="000000" w:themeColor="text1"/>
          <w:sz w:val="32"/>
          <w:szCs w:val="32"/>
          <w:highlight w:val="none"/>
          <w14:textFill>
            <w14:solidFill>
              <w14:schemeClr w14:val="tx1"/>
            </w14:solidFill>
          </w14:textFill>
        </w:rPr>
        <w:t>类似项目业绩一览表</w:t>
      </w:r>
      <w:bookmarkEnd w:id="103"/>
      <w:bookmarkEnd w:id="104"/>
      <w:bookmarkEnd w:id="105"/>
    </w:p>
    <w:p w14:paraId="66B41E3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bl>
      <w:tblPr>
        <w:tblStyle w:val="80"/>
        <w:tblW w:w="8267" w:type="dxa"/>
        <w:tblInd w:w="54" w:type="dxa"/>
        <w:tblLayout w:type="fixed"/>
        <w:tblCellMar>
          <w:top w:w="0" w:type="dxa"/>
          <w:left w:w="54" w:type="dxa"/>
          <w:bottom w:w="0" w:type="dxa"/>
          <w:right w:w="54" w:type="dxa"/>
        </w:tblCellMar>
      </w:tblPr>
      <w:tblGrid>
        <w:gridCol w:w="1359"/>
        <w:gridCol w:w="2265"/>
        <w:gridCol w:w="2407"/>
        <w:gridCol w:w="1377"/>
        <w:gridCol w:w="859"/>
      </w:tblGrid>
      <w:tr w14:paraId="4E826908">
        <w:tblPrEx>
          <w:tblCellMar>
            <w:top w:w="0" w:type="dxa"/>
            <w:left w:w="54" w:type="dxa"/>
            <w:bottom w:w="0" w:type="dxa"/>
            <w:right w:w="54" w:type="dxa"/>
          </w:tblCellMar>
        </w:tblPrEx>
        <w:trPr>
          <w:cantSplit/>
          <w:trHeight w:val="600" w:hRule="atLeast"/>
        </w:trPr>
        <w:tc>
          <w:tcPr>
            <w:tcW w:w="1359" w:type="dxa"/>
            <w:tcBorders>
              <w:top w:val="single" w:color="000000" w:sz="4" w:space="0"/>
              <w:left w:val="single" w:color="000000" w:sz="4" w:space="0"/>
              <w:bottom w:val="single" w:color="000000" w:sz="6" w:space="0"/>
              <w:right w:val="single" w:color="000000" w:sz="6" w:space="0"/>
            </w:tcBorders>
            <w:noWrap/>
            <w:vAlign w:val="center"/>
          </w:tcPr>
          <w:p w14:paraId="6B830248">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年份</w:t>
            </w:r>
          </w:p>
        </w:tc>
        <w:tc>
          <w:tcPr>
            <w:tcW w:w="2265" w:type="dxa"/>
            <w:tcBorders>
              <w:top w:val="single" w:color="000000" w:sz="4" w:space="0"/>
              <w:left w:val="single" w:color="000000" w:sz="6" w:space="0"/>
              <w:bottom w:val="single" w:color="000000" w:sz="6" w:space="0"/>
              <w:right w:val="single" w:color="000000" w:sz="6" w:space="0"/>
            </w:tcBorders>
            <w:noWrap/>
            <w:vAlign w:val="center"/>
          </w:tcPr>
          <w:p w14:paraId="21DA8C99">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委托人名称</w:t>
            </w:r>
          </w:p>
        </w:tc>
        <w:tc>
          <w:tcPr>
            <w:tcW w:w="2407" w:type="dxa"/>
            <w:tcBorders>
              <w:top w:val="single" w:color="000000" w:sz="4" w:space="0"/>
              <w:left w:val="single" w:color="000000" w:sz="6" w:space="0"/>
              <w:bottom w:val="single" w:color="000000" w:sz="6" w:space="0"/>
              <w:right w:val="single" w:color="000000" w:sz="6" w:space="0"/>
            </w:tcBorders>
            <w:noWrap/>
            <w:vAlign w:val="center"/>
          </w:tcPr>
          <w:p w14:paraId="43AE710A">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项目名称</w:t>
            </w:r>
          </w:p>
        </w:tc>
        <w:tc>
          <w:tcPr>
            <w:tcW w:w="1377" w:type="dxa"/>
            <w:tcBorders>
              <w:top w:val="single" w:color="000000" w:sz="4" w:space="0"/>
              <w:left w:val="single" w:color="000000" w:sz="6" w:space="0"/>
              <w:bottom w:val="single" w:color="000000" w:sz="6" w:space="0"/>
              <w:right w:val="single" w:color="000000" w:sz="6" w:space="0"/>
            </w:tcBorders>
            <w:noWrap/>
            <w:vAlign w:val="center"/>
          </w:tcPr>
          <w:p w14:paraId="364302BD">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合同金额</w:t>
            </w:r>
          </w:p>
        </w:tc>
        <w:tc>
          <w:tcPr>
            <w:tcW w:w="859" w:type="dxa"/>
            <w:tcBorders>
              <w:top w:val="single" w:color="000000" w:sz="4" w:space="0"/>
              <w:left w:val="single" w:color="000000" w:sz="4" w:space="0"/>
              <w:bottom w:val="single" w:color="000000" w:sz="6" w:space="0"/>
              <w:right w:val="single" w:color="000000" w:sz="4" w:space="0"/>
            </w:tcBorders>
            <w:noWrap/>
            <w:vAlign w:val="center"/>
          </w:tcPr>
          <w:p w14:paraId="4F348886">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备注</w:t>
            </w:r>
          </w:p>
        </w:tc>
      </w:tr>
      <w:tr w14:paraId="57688B83">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58B438E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13A0CE2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776A999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58DBF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28962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6703766">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323D56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5A5D7C6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2441FC9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1459FD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191ED9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B06C95">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04CFE44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0D98D90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0D47C34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57861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024AE0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D5432C1">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1028670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4" w:space="0"/>
            </w:tcBorders>
            <w:noWrap/>
            <w:vAlign w:val="center"/>
          </w:tcPr>
          <w:p w14:paraId="4440C39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6" w:space="0"/>
            </w:tcBorders>
            <w:noWrap/>
            <w:vAlign w:val="center"/>
          </w:tcPr>
          <w:p w14:paraId="34026F1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D4A6B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72EC455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A102EDC">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4" w:space="0"/>
            </w:tcBorders>
            <w:noWrap/>
            <w:vAlign w:val="center"/>
          </w:tcPr>
          <w:p w14:paraId="7F5B70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4" w:space="0"/>
              <w:bottom w:val="single" w:color="000000" w:sz="6" w:space="0"/>
              <w:right w:val="single" w:color="000000" w:sz="4" w:space="0"/>
            </w:tcBorders>
            <w:noWrap/>
            <w:vAlign w:val="center"/>
          </w:tcPr>
          <w:p w14:paraId="4B82354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4" w:space="0"/>
            </w:tcBorders>
            <w:noWrap/>
            <w:vAlign w:val="center"/>
          </w:tcPr>
          <w:p w14:paraId="7F8634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4" w:space="0"/>
              <w:bottom w:val="single" w:color="000000" w:sz="6" w:space="0"/>
              <w:right w:val="single" w:color="000000" w:sz="4" w:space="0"/>
            </w:tcBorders>
            <w:noWrap/>
            <w:vAlign w:val="center"/>
          </w:tcPr>
          <w:p w14:paraId="4626DC0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50B053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59044A">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C6A9C8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664FF23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6894C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5356BEF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3399A82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DC449CB">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A90B06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458AF8A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5779BD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1ECAB59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41407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D6795C4">
        <w:tblPrEx>
          <w:tblCellMar>
            <w:top w:w="0" w:type="dxa"/>
            <w:left w:w="54" w:type="dxa"/>
            <w:bottom w:w="0" w:type="dxa"/>
            <w:right w:w="54" w:type="dxa"/>
          </w:tblCellMar>
        </w:tblPrEx>
        <w:trPr>
          <w:cantSplit/>
          <w:trHeight w:val="435" w:hRule="atLeast"/>
        </w:trPr>
        <w:tc>
          <w:tcPr>
            <w:tcW w:w="1359" w:type="dxa"/>
            <w:tcBorders>
              <w:top w:val="single" w:color="000000" w:sz="4" w:space="0"/>
              <w:left w:val="single" w:color="000000" w:sz="4" w:space="0"/>
              <w:bottom w:val="single" w:color="000000" w:sz="4" w:space="0"/>
              <w:right w:val="single" w:color="000000" w:sz="6" w:space="0"/>
            </w:tcBorders>
            <w:noWrap/>
            <w:vAlign w:val="center"/>
          </w:tcPr>
          <w:p w14:paraId="6D48BC9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4" w:space="0"/>
              <w:left w:val="single" w:color="000000" w:sz="6" w:space="0"/>
              <w:bottom w:val="single" w:color="000000" w:sz="4" w:space="0"/>
              <w:right w:val="single" w:color="000000" w:sz="6" w:space="0"/>
            </w:tcBorders>
            <w:noWrap/>
            <w:vAlign w:val="center"/>
          </w:tcPr>
          <w:p w14:paraId="082E1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4" w:space="0"/>
              <w:left w:val="single" w:color="000000" w:sz="6" w:space="0"/>
              <w:bottom w:val="single" w:color="000000" w:sz="4" w:space="0"/>
              <w:right w:val="single" w:color="000000" w:sz="6" w:space="0"/>
            </w:tcBorders>
            <w:noWrap/>
            <w:vAlign w:val="center"/>
          </w:tcPr>
          <w:p w14:paraId="543A8A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4" w:space="0"/>
              <w:left w:val="single" w:color="000000" w:sz="6" w:space="0"/>
              <w:bottom w:val="single" w:color="000000" w:sz="4" w:space="0"/>
              <w:right w:val="single" w:color="000000" w:sz="4" w:space="0"/>
            </w:tcBorders>
            <w:noWrap/>
            <w:vAlign w:val="center"/>
          </w:tcPr>
          <w:p w14:paraId="3250FC3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59C8060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37734580">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6D9B7BEC">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3F9C557D">
      <w:pPr>
        <w:pageBreakBefore w:val="0"/>
        <w:kinsoku/>
        <w:wordWrap w:val="0"/>
        <w:overflowPunct/>
        <w:topLinePunct w:val="0"/>
        <w:bidi w:val="0"/>
        <w:spacing w:line="360" w:lineRule="auto"/>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Cs w:val="24"/>
          <w:highlight w:val="none"/>
          <w14:textFill>
            <w14:solidFill>
              <w14:schemeClr w14:val="tx1"/>
            </w14:solidFill>
          </w14:textFill>
        </w:rPr>
        <w:t>注：按</w:t>
      </w:r>
      <w:r>
        <w:rPr>
          <w:rFonts w:hint="eastAsia" w:ascii="仿宋" w:hAnsi="仿宋" w:eastAsia="仿宋" w:cs="仿宋"/>
          <w:b/>
          <w:bCs/>
          <w:color w:val="000000" w:themeColor="text1"/>
          <w:kern w:val="1"/>
          <w:szCs w:val="24"/>
          <w:highlight w:val="none"/>
          <w:lang w:eastAsia="zh-CN"/>
          <w14:textFill>
            <w14:solidFill>
              <w14:schemeClr w14:val="tx1"/>
            </w14:solidFill>
          </w14:textFill>
        </w:rPr>
        <w:t>比选</w:t>
      </w:r>
      <w:r>
        <w:rPr>
          <w:rFonts w:hint="eastAsia" w:ascii="仿宋" w:hAnsi="仿宋" w:eastAsia="仿宋" w:cs="仿宋"/>
          <w:b/>
          <w:bCs/>
          <w:color w:val="000000" w:themeColor="text1"/>
          <w:kern w:val="1"/>
          <w:szCs w:val="24"/>
          <w:highlight w:val="none"/>
          <w14:textFill>
            <w14:solidFill>
              <w14:schemeClr w14:val="tx1"/>
            </w14:solidFill>
          </w14:textFill>
        </w:rPr>
        <w:t>文件要求提供证明材料，并加盖供应商公章。</w:t>
      </w:r>
    </w:p>
    <w:p w14:paraId="1A61163B">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7E55A6AD">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2EA2D387">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05B47E5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FD16E2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1447B05C">
      <w:pPr>
        <w:pageBreakBefore w:val="0"/>
        <w:kinsoku/>
        <w:wordWrap w:val="0"/>
        <w:overflowPunct/>
        <w:topLinePunct w:val="0"/>
        <w:bidi w:val="0"/>
        <w:spacing w:line="360" w:lineRule="auto"/>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p>
    <w:p w14:paraId="15FEF59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6" w:name="_Toc180954179"/>
      <w:bookmarkStart w:id="107" w:name="_Toc7933"/>
      <w:bookmarkStart w:id="108" w:name="_Toc180954132"/>
      <w:r>
        <w:rPr>
          <w:rFonts w:hint="eastAsia" w:ascii="仿宋" w:hAnsi="仿宋" w:eastAsia="仿宋" w:cs="仿宋"/>
          <w:b/>
          <w:color w:val="000000" w:themeColor="text1"/>
          <w:sz w:val="32"/>
          <w:szCs w:val="32"/>
          <w:highlight w:val="none"/>
          <w14:textFill>
            <w14:solidFill>
              <w14:schemeClr w14:val="tx1"/>
            </w14:solidFill>
          </w14:textFill>
        </w:rPr>
        <w:t>技术、服务响应偏离表</w:t>
      </w:r>
      <w:bookmarkEnd w:id="106"/>
      <w:bookmarkEnd w:id="107"/>
      <w:bookmarkEnd w:id="108"/>
    </w:p>
    <w:tbl>
      <w:tblPr>
        <w:tblStyle w:val="80"/>
        <w:tblW w:w="9072" w:type="dxa"/>
        <w:tblInd w:w="108" w:type="dxa"/>
        <w:tblLayout w:type="fixed"/>
        <w:tblCellMar>
          <w:top w:w="0" w:type="dxa"/>
          <w:left w:w="108" w:type="dxa"/>
          <w:bottom w:w="0" w:type="dxa"/>
          <w:right w:w="108" w:type="dxa"/>
        </w:tblCellMar>
      </w:tblPr>
      <w:tblGrid>
        <w:gridCol w:w="709"/>
        <w:gridCol w:w="2977"/>
        <w:gridCol w:w="2551"/>
        <w:gridCol w:w="2835"/>
      </w:tblGrid>
      <w:tr w14:paraId="65CF5A47">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96EAF39">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3FE175DC">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551" w:type="dxa"/>
            <w:tcBorders>
              <w:top w:val="single" w:color="000000" w:sz="12" w:space="0"/>
              <w:left w:val="single" w:color="000000" w:sz="4" w:space="0"/>
              <w:bottom w:val="single" w:color="000000" w:sz="4" w:space="0"/>
              <w:right w:val="single" w:color="000000" w:sz="4" w:space="0"/>
            </w:tcBorders>
            <w:noWrap/>
            <w:vAlign w:val="center"/>
          </w:tcPr>
          <w:p w14:paraId="3358AAC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835" w:type="dxa"/>
            <w:tcBorders>
              <w:top w:val="single" w:color="000000" w:sz="12" w:space="0"/>
              <w:left w:val="single" w:color="000000" w:sz="4" w:space="0"/>
              <w:bottom w:val="single" w:color="000000" w:sz="4" w:space="0"/>
              <w:right w:val="single" w:color="000000" w:sz="12" w:space="0"/>
            </w:tcBorders>
            <w:noWrap/>
            <w:vAlign w:val="center"/>
          </w:tcPr>
          <w:p w14:paraId="72FAED81">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003A1BC">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C48E75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6B7FB0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18030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1A103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327489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04AC7E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92EA53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C535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7A79FB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21EA1DF">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DC3D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24A5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F67CDA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6B049A1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50481E5">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8BE028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B6DEA1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3105B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9BD0A1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92377C6">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D14E10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F2B14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EE4AA5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B5A99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8BB66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62F56C9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013709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365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72DE06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83A09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2923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D5F96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88473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3DF1F22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75325A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7189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p w14:paraId="761B8A3F">
            <w:pPr>
              <w:pStyle w:val="30"/>
              <w:pageBreakBefore w:val="0"/>
              <w:kinsoku/>
              <w:wordWrap w:val="0"/>
              <w:overflowPunct/>
              <w:topLinePunct w:val="0"/>
              <w:bidi w:val="0"/>
              <w:rPr>
                <w:rFonts w:ascii="仿宋" w:hAnsi="仿宋" w:eastAsia="仿宋" w:cs="仿宋"/>
                <w:color w:val="000000" w:themeColor="text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A06275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BFF9F3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54D391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219C0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00ACCC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A7FAA3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E068F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8F17D2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FBA68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043DE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3520408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12" w:space="0"/>
              <w:right w:val="single" w:color="000000" w:sz="4" w:space="0"/>
            </w:tcBorders>
            <w:noWrap/>
            <w:vAlign w:val="center"/>
          </w:tcPr>
          <w:p w14:paraId="1802D92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12" w:space="0"/>
              <w:right w:val="single" w:color="000000" w:sz="12" w:space="0"/>
            </w:tcBorders>
            <w:noWrap/>
          </w:tcPr>
          <w:p w14:paraId="019532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462B950D">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7539912">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注：</w:t>
      </w:r>
    </w:p>
    <w:p w14:paraId="59B03BD1">
      <w:pPr>
        <w:wordWrap w:val="0"/>
        <w:spacing w:line="360" w:lineRule="auto"/>
        <w:ind w:firstLine="418" w:firstLineChars="200"/>
        <w:rPr>
          <w:rFonts w:ascii="仿宋" w:hAnsi="仿宋" w:eastAsia="仿宋" w:cs="仿宋"/>
          <w:b/>
          <w:color w:val="auto"/>
          <w:spacing w:val="-1"/>
          <w:szCs w:val="21"/>
          <w:highlight w:val="none"/>
        </w:rPr>
      </w:pPr>
      <w:r>
        <w:rPr>
          <w:rFonts w:hint="eastAsia" w:ascii="仿宋" w:hAnsi="仿宋" w:eastAsia="仿宋" w:cs="仿宋"/>
          <w:b/>
          <w:color w:val="auto"/>
          <w:spacing w:val="-1"/>
          <w:szCs w:val="21"/>
          <w:highlight w:val="none"/>
        </w:rPr>
        <w:t>1、供应商必须根据</w:t>
      </w:r>
      <w:r>
        <w:rPr>
          <w:rFonts w:hint="eastAsia" w:ascii="仿宋" w:hAnsi="仿宋" w:eastAsia="仿宋" w:cs="仿宋"/>
          <w:b/>
          <w:color w:val="auto"/>
          <w:spacing w:val="-1"/>
          <w:szCs w:val="21"/>
          <w:highlight w:val="none"/>
          <w:lang w:eastAsia="zh-CN"/>
        </w:rPr>
        <w:t>比选</w:t>
      </w:r>
      <w:r>
        <w:rPr>
          <w:rFonts w:hint="eastAsia" w:ascii="仿宋" w:hAnsi="仿宋" w:eastAsia="仿宋" w:cs="仿宋"/>
          <w:b/>
          <w:color w:val="auto"/>
          <w:spacing w:val="-1"/>
          <w:szCs w:val="21"/>
          <w:highlight w:val="none"/>
        </w:rPr>
        <w:t>文件要求据实逐条填写，不得虚假响应，虚假响应的，其响应文件无效并按规定追究其相关责任。</w:t>
      </w:r>
      <w:r>
        <w:rPr>
          <w:rFonts w:hint="eastAsia" w:ascii="仿宋" w:hAnsi="仿宋" w:eastAsia="仿宋" w:cs="仿宋"/>
          <w:b/>
          <w:bCs/>
          <w:color w:val="auto"/>
          <w:szCs w:val="21"/>
          <w:highlight w:val="none"/>
          <w:lang w:val="zh-TW"/>
        </w:rPr>
        <w:t>如与</w:t>
      </w:r>
      <w:r>
        <w:rPr>
          <w:rFonts w:hint="eastAsia" w:ascii="仿宋" w:hAnsi="仿宋" w:eastAsia="仿宋" w:cs="仿宋"/>
          <w:b/>
          <w:bCs/>
          <w:color w:val="auto"/>
          <w:szCs w:val="21"/>
          <w:highlight w:val="none"/>
          <w:lang w:val="zh-TW" w:eastAsia="zh-CN"/>
        </w:rPr>
        <w:t>比选</w:t>
      </w:r>
      <w:r>
        <w:rPr>
          <w:rFonts w:hint="eastAsia" w:ascii="仿宋" w:hAnsi="仿宋" w:eastAsia="仿宋" w:cs="仿宋"/>
          <w:b/>
          <w:bCs/>
          <w:color w:val="auto"/>
          <w:szCs w:val="21"/>
          <w:highlight w:val="none"/>
          <w:lang w:val="zh-TW"/>
        </w:rPr>
        <w:t>文件服务内容及要求条款无偏离，则无须逐条应答。</w:t>
      </w:r>
    </w:p>
    <w:p w14:paraId="43CA4854">
      <w:pPr>
        <w:pageBreakBefore w:val="0"/>
        <w:kinsoku/>
        <w:wordWrap w:val="0"/>
        <w:overflowPunct/>
        <w:topLinePunct w:val="0"/>
        <w:bidi w:val="0"/>
        <w:spacing w:line="360" w:lineRule="auto"/>
        <w:ind w:firstLine="418" w:firstLineChars="200"/>
        <w:jc w:val="left"/>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auto"/>
          <w:spacing w:val="-1"/>
          <w:szCs w:val="21"/>
          <w:highlight w:val="none"/>
        </w:rPr>
        <w:t>2、偏离情况按实际填写“正偏离”、“负偏离”、“完全响应”</w:t>
      </w:r>
      <w:r>
        <w:rPr>
          <w:rFonts w:hint="eastAsia" w:ascii="仿宋" w:hAnsi="仿宋" w:eastAsia="仿宋" w:cs="仿宋"/>
          <w:b/>
          <w:color w:val="000000" w:themeColor="text1"/>
          <w:spacing w:val="-1"/>
          <w:szCs w:val="21"/>
          <w:highlight w:val="none"/>
          <w14:textFill>
            <w14:solidFill>
              <w14:schemeClr w14:val="tx1"/>
            </w14:solidFill>
          </w14:textFill>
        </w:rPr>
        <w:t>。</w:t>
      </w:r>
    </w:p>
    <w:p w14:paraId="1E49969F">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F415C58">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0682018">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B3C2BF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4507B02B">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7</w:t>
      </w:r>
    </w:p>
    <w:p w14:paraId="14B6B34B">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9" w:name="_Toc3529"/>
      <w:bookmarkEnd w:id="109"/>
      <w:bookmarkStart w:id="110" w:name="_Toc180954133"/>
      <w:bookmarkStart w:id="111" w:name="_Toc15033"/>
      <w:bookmarkStart w:id="112" w:name="_Toc180954180"/>
      <w:r>
        <w:rPr>
          <w:rFonts w:hint="eastAsia" w:ascii="仿宋" w:hAnsi="仿宋" w:eastAsia="仿宋" w:cs="仿宋"/>
          <w:b/>
          <w:color w:val="000000" w:themeColor="text1"/>
          <w:sz w:val="32"/>
          <w:szCs w:val="32"/>
          <w:highlight w:val="none"/>
          <w14:textFill>
            <w14:solidFill>
              <w14:schemeClr w14:val="tx1"/>
            </w14:solidFill>
          </w14:textFill>
        </w:rPr>
        <w:t>商务应答表</w:t>
      </w:r>
      <w:bookmarkEnd w:id="110"/>
      <w:bookmarkEnd w:id="111"/>
      <w:bookmarkEnd w:id="112"/>
    </w:p>
    <w:p w14:paraId="40ED401A">
      <w:pPr>
        <w:pageBreakBefore w:val="0"/>
        <w:kinsoku/>
        <w:wordWrap w:val="0"/>
        <w:overflowPunct/>
        <w:topLinePunct w:val="0"/>
        <w:bidi w:val="0"/>
        <w:spacing w:line="360" w:lineRule="auto"/>
        <w:jc w:val="left"/>
        <w:rPr>
          <w:rFonts w:ascii="仿宋" w:hAnsi="仿宋" w:eastAsia="仿宋" w:cs="仿宋"/>
          <w:b/>
          <w:color w:val="000000" w:themeColor="text1"/>
          <w:sz w:val="3"/>
          <w:szCs w:val="3"/>
          <w:highlight w:val="none"/>
          <w14:textFill>
            <w14:solidFill>
              <w14:schemeClr w14:val="tx1"/>
            </w14:solidFill>
          </w14:textFill>
        </w:rPr>
      </w:pPr>
    </w:p>
    <w:tbl>
      <w:tblPr>
        <w:tblStyle w:val="80"/>
        <w:tblW w:w="8789" w:type="dxa"/>
        <w:tblInd w:w="108" w:type="dxa"/>
        <w:tblLayout w:type="fixed"/>
        <w:tblCellMar>
          <w:top w:w="0" w:type="dxa"/>
          <w:left w:w="108" w:type="dxa"/>
          <w:bottom w:w="0" w:type="dxa"/>
          <w:right w:w="108" w:type="dxa"/>
        </w:tblCellMar>
      </w:tblPr>
      <w:tblGrid>
        <w:gridCol w:w="709"/>
        <w:gridCol w:w="2977"/>
        <w:gridCol w:w="2977"/>
        <w:gridCol w:w="2126"/>
      </w:tblGrid>
      <w:tr w14:paraId="5DADBAA3">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FB4356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7E208C7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68CF8D58">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126" w:type="dxa"/>
            <w:tcBorders>
              <w:top w:val="single" w:color="000000" w:sz="12" w:space="0"/>
              <w:left w:val="single" w:color="000000" w:sz="4" w:space="0"/>
              <w:bottom w:val="single" w:color="000000" w:sz="4" w:space="0"/>
              <w:right w:val="single" w:color="000000" w:sz="12" w:space="0"/>
            </w:tcBorders>
            <w:noWrap/>
            <w:vAlign w:val="center"/>
          </w:tcPr>
          <w:p w14:paraId="13E72B24">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51624E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94B9D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F6CA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DB6B6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36F1AAA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9ED97C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79615B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1E4B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3D4A5E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8EAD8A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6E6FF6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F2D824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9ADBB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D796F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06BDFD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BC7FE2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97958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3BA711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B15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78B596B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F17CA0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D0938D6">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876576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9DB6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5CBE34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0966F92">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0477B1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0A72B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457DEF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0F71A9A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BE86104">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3963C4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06529F1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7A18283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12" w:space="0"/>
              <w:right w:val="single" w:color="000000" w:sz="12" w:space="0"/>
            </w:tcBorders>
            <w:noWrap/>
          </w:tcPr>
          <w:p w14:paraId="7274916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59A6F615">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5C26832">
      <w:pPr>
        <w:pageBreakBefore w:val="0"/>
        <w:kinsoku/>
        <w:wordWrap w:val="0"/>
        <w:overflowPunct/>
        <w:topLinePunct w:val="0"/>
        <w:bidi w:val="0"/>
        <w:spacing w:line="360" w:lineRule="auto"/>
        <w:ind w:left="1" w:firstLine="422"/>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 xml:space="preserve">注： </w:t>
      </w:r>
    </w:p>
    <w:p w14:paraId="055BB742">
      <w:pPr>
        <w:pageBreakBefore w:val="0"/>
        <w:kinsoku/>
        <w:wordWrap w:val="0"/>
        <w:overflowPunct/>
        <w:topLinePunct w:val="0"/>
        <w:bidi w:val="0"/>
        <w:spacing w:line="360" w:lineRule="auto"/>
        <w:ind w:left="1" w:firstLine="422"/>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1、本表只填写响应文件中与</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文件有偏离（包括正偏离和负偏离）的内容，除本偏离表所列的偏离指标外，其他所有商务条款均完全响应“</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文件”中的要求。</w:t>
      </w:r>
    </w:p>
    <w:p w14:paraId="208FBD8D">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2、供应商必须据实填写，不得虚假响应，否则将取消其响应或成交资格，并按有关规定进行处罚。</w:t>
      </w:r>
    </w:p>
    <w:p w14:paraId="5C5FC7D7">
      <w:pPr>
        <w:pageBreakBefore w:val="0"/>
        <w:kinsoku/>
        <w:wordWrap w:val="0"/>
        <w:overflowPunct/>
        <w:topLinePunct w:val="0"/>
        <w:bidi w:val="0"/>
        <w:spacing w:line="360" w:lineRule="auto"/>
        <w:ind w:firstLine="480"/>
        <w:rPr>
          <w:rFonts w:ascii="仿宋" w:hAnsi="仿宋" w:eastAsia="仿宋" w:cs="仿宋"/>
          <w:color w:val="000000" w:themeColor="text1"/>
          <w:kern w:val="1"/>
          <w:sz w:val="24"/>
          <w:highlight w:val="none"/>
          <w14:textFill>
            <w14:solidFill>
              <w14:schemeClr w14:val="tx1"/>
            </w14:solidFill>
          </w14:textFill>
        </w:rPr>
      </w:pPr>
    </w:p>
    <w:p w14:paraId="70C446C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20991FE6">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06296424">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sectPr>
          <w:headerReference r:id="rId24" w:type="first"/>
          <w:headerReference r:id="rId23" w:type="default"/>
          <w:footerReference r:id="rId25"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0EE7F834">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8</w:t>
      </w:r>
    </w:p>
    <w:p w14:paraId="013DA9B6">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3" w:name="_Toc23205"/>
      <w:bookmarkEnd w:id="113"/>
      <w:bookmarkStart w:id="114" w:name="_Toc31400"/>
      <w:bookmarkEnd w:id="114"/>
      <w:bookmarkStart w:id="115" w:name="_Toc180954135"/>
      <w:bookmarkStart w:id="116" w:name="_Toc12563"/>
      <w:bookmarkStart w:id="117" w:name="_Toc180954182"/>
      <w:r>
        <w:rPr>
          <w:rFonts w:hint="eastAsia" w:ascii="仿宋" w:hAnsi="仿宋" w:eastAsia="仿宋" w:cs="仿宋"/>
          <w:b/>
          <w:color w:val="000000" w:themeColor="text1"/>
          <w:sz w:val="32"/>
          <w:szCs w:val="32"/>
          <w:highlight w:val="none"/>
          <w14:textFill>
            <w14:solidFill>
              <w14:schemeClr w14:val="tx1"/>
            </w14:solidFill>
          </w14:textFill>
        </w:rPr>
        <w:t>其他有关材料（格式自拟）</w:t>
      </w:r>
      <w:bookmarkEnd w:id="115"/>
      <w:bookmarkEnd w:id="116"/>
      <w:bookmarkEnd w:id="117"/>
      <w:bookmarkStart w:id="118" w:name="_Toc25272"/>
      <w:bookmarkEnd w:id="118"/>
    </w:p>
    <w:p w14:paraId="1B9DBEFF">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5971FA6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119" w:name="_Toc180954137"/>
      <w:bookmarkStart w:id="120" w:name="_Toc180954089"/>
      <w:bookmarkStart w:id="121" w:name="_Toc3308"/>
      <w:r>
        <w:rPr>
          <w:rFonts w:hint="eastAsia" w:ascii="仿宋" w:hAnsi="仿宋" w:eastAsia="仿宋" w:cs="仿宋"/>
          <w:color w:val="000000" w:themeColor="text1"/>
          <w:highlight w:val="none"/>
          <w14:textFill>
            <w14:solidFill>
              <w14:schemeClr w14:val="tx1"/>
            </w14:solidFill>
          </w14:textFill>
        </w:rPr>
        <w:t>第八章 采购合同须知</w:t>
      </w:r>
      <w:bookmarkEnd w:id="119"/>
      <w:bookmarkEnd w:id="120"/>
      <w:bookmarkEnd w:id="121"/>
    </w:p>
    <w:p w14:paraId="4B9D82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1、采购人与成交供应商应当在成交通知书发出之日起 30 日内，依据采购文件、响应文件以及评审、商定过程中确定的事项签订采购合同。需要交纳履约保证金的，应当及时向采购人交纳。</w:t>
      </w:r>
    </w:p>
    <w:p w14:paraId="52918DD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2C8DEC2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3、采购人和成交供应商之间约定的权利义务，不得改变采购文件的规定要求、响应文件和评审、商定过程中的响应承诺范围。</w:t>
      </w:r>
    </w:p>
    <w:p w14:paraId="4C749EE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4、采购人拒绝在规定时间内签订采购合同的，成交供应商可以依照有关民事法 律的规定进行司法救济。成交供应商拒绝与采购人签订合同的，采购人可以按照评审报告推荐的成交候选供应商排序，确定下一位成交候选供应商为成交供应商，也可以重新开展采购活动。</w:t>
      </w:r>
    </w:p>
    <w:p w14:paraId="283FFF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5、采购合同签订后，成交供应商应当严格按照采购合同的约定履约，保证 质量，不得拖延、降低标准、以次充好、弄虚作假。</w:t>
      </w:r>
    </w:p>
    <w:p w14:paraId="6F69BD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26" w:type="default"/>
          <w:footerReference r:id="rId27" w:type="default"/>
          <w:pgSz w:w="11906" w:h="16838"/>
          <w:pgMar w:top="1440" w:right="1800" w:bottom="1440" w:left="1800" w:header="851" w:footer="992" w:gutter="0"/>
          <w:cols w:space="720" w:num="1"/>
        </w:sectPr>
      </w:pPr>
    </w:p>
    <w:p w14:paraId="4321578D">
      <w:pPr>
        <w:pStyle w:val="2"/>
        <w:pageBreakBefore w:val="0"/>
        <w:kinsoku/>
        <w:wordWrap w:val="0"/>
        <w:overflowPunct/>
        <w:topLinePunct w:val="0"/>
        <w:bidi w:val="0"/>
        <w:spacing w:before="0" w:after="0" w:line="360" w:lineRule="auto"/>
        <w:rPr>
          <w:rFonts w:hint="eastAsia" w:ascii="仿宋" w:hAnsi="仿宋" w:eastAsia="仿宋" w:cs="仿宋"/>
          <w:color w:val="000000" w:themeColor="text1"/>
          <w:highlight w:val="none"/>
          <w:lang w:eastAsia="zh-CN"/>
          <w14:textFill>
            <w14:solidFill>
              <w14:schemeClr w14:val="tx1"/>
            </w14:solidFill>
          </w14:textFill>
        </w:rPr>
      </w:pPr>
      <w:bookmarkStart w:id="122" w:name="_Toc180954138"/>
      <w:bookmarkStart w:id="123" w:name="_Toc180954090"/>
      <w:bookmarkStart w:id="124" w:name="_Toc30414"/>
      <w:r>
        <w:rPr>
          <w:rFonts w:hint="eastAsia" w:ascii="仿宋" w:hAnsi="仿宋" w:eastAsia="仿宋" w:cs="仿宋"/>
          <w:color w:val="000000" w:themeColor="text1"/>
          <w:highlight w:val="none"/>
          <w14:textFill>
            <w14:solidFill>
              <w14:schemeClr w14:val="tx1"/>
            </w14:solidFill>
          </w14:textFill>
        </w:rPr>
        <w:t>第九章 采购合同</w:t>
      </w:r>
      <w:bookmarkEnd w:id="122"/>
      <w:bookmarkEnd w:id="123"/>
      <w:bookmarkEnd w:id="124"/>
      <w:r>
        <w:rPr>
          <w:rFonts w:hint="eastAsia" w:ascii="仿宋" w:hAnsi="仿宋" w:eastAsia="仿宋" w:cs="仿宋"/>
          <w:color w:val="000000" w:themeColor="text1"/>
          <w:highlight w:val="none"/>
          <w:lang w:eastAsia="zh-CN"/>
          <w14:textFill>
            <w14:solidFill>
              <w14:schemeClr w14:val="tx1"/>
            </w14:solidFill>
          </w14:textFill>
        </w:rPr>
        <w:t>（仅供参考）</w:t>
      </w:r>
    </w:p>
    <w:p w14:paraId="7475D0DA">
      <w:pPr>
        <w:spacing w:before="330" w:line="222" w:lineRule="auto"/>
        <w:ind w:left="26"/>
        <w:rPr>
          <w:rFonts w:ascii="黑体" w:hAnsi="黑体" w:eastAsia="黑体" w:cs="黑体"/>
          <w:sz w:val="28"/>
          <w:szCs w:val="28"/>
        </w:rPr>
      </w:pPr>
      <w:bookmarkStart w:id="125" w:name="_Toc286993786"/>
      <w:bookmarkStart w:id="126" w:name="_Toc225654644"/>
      <w:bookmarkStart w:id="127" w:name="_Toc225244852"/>
      <w:bookmarkStart w:id="128" w:name="_Toc238984975"/>
      <w:bookmarkStart w:id="129" w:name="_Toc239568418"/>
      <w:bookmarkStart w:id="130" w:name="_Toc241833903"/>
      <w:bookmarkStart w:id="131" w:name="_Toc232492928"/>
      <w:bookmarkStart w:id="132" w:name="_Toc237145406"/>
      <w:bookmarkStart w:id="133" w:name="_Toc282696226"/>
      <w:bookmarkStart w:id="134" w:name="_Toc251768862"/>
      <w:bookmarkStart w:id="135" w:name="_Toc225670751"/>
      <w:bookmarkStart w:id="136" w:name="_Toc239233914"/>
      <w:bookmarkStart w:id="137" w:name="_Toc212019594"/>
      <w:bookmarkStart w:id="138" w:name="_Toc211854449"/>
      <w:bookmarkStart w:id="139" w:name="_Toc211911348"/>
      <w:bookmarkStart w:id="140" w:name="_Toc185395249"/>
      <w:bookmarkStart w:id="141" w:name="_Toc247334841"/>
      <w:bookmarkStart w:id="142" w:name="_Toc283019214"/>
      <w:r>
        <w:rPr>
          <w:rFonts w:ascii="黑体" w:hAnsi="黑体" w:eastAsia="黑体" w:cs="黑体"/>
          <w:spacing w:val="-3"/>
          <w:sz w:val="28"/>
          <w:szCs w:val="28"/>
        </w:rPr>
        <w:t>合同编号：</w:t>
      </w:r>
    </w:p>
    <w:p w14:paraId="060D826C">
      <w:pPr>
        <w:spacing w:before="152" w:line="226" w:lineRule="auto"/>
        <w:ind w:left="2470"/>
        <w:outlineLvl w:val="1"/>
        <w:rPr>
          <w:rFonts w:ascii="仿宋" w:hAnsi="仿宋" w:eastAsia="仿宋" w:cs="仿宋"/>
          <w:b/>
          <w:bCs/>
          <w:spacing w:val="1"/>
          <w:sz w:val="47"/>
          <w:szCs w:val="47"/>
        </w:rPr>
      </w:pPr>
    </w:p>
    <w:p w14:paraId="37FE6CB5">
      <w:pPr>
        <w:spacing w:before="152" w:line="226" w:lineRule="auto"/>
        <w:ind w:left="2470"/>
        <w:outlineLvl w:val="1"/>
        <w:rPr>
          <w:rFonts w:ascii="仿宋" w:hAnsi="仿宋" w:eastAsia="仿宋" w:cs="仿宋"/>
          <w:b/>
          <w:bCs/>
          <w:spacing w:val="1"/>
          <w:sz w:val="47"/>
          <w:szCs w:val="47"/>
        </w:rPr>
      </w:pPr>
    </w:p>
    <w:p w14:paraId="73D1F1AA">
      <w:pPr>
        <w:spacing w:before="152" w:line="226" w:lineRule="auto"/>
        <w:ind w:left="2470"/>
        <w:outlineLvl w:val="1"/>
        <w:rPr>
          <w:rFonts w:ascii="仿宋" w:hAnsi="仿宋" w:eastAsia="仿宋" w:cs="仿宋"/>
          <w:sz w:val="47"/>
          <w:szCs w:val="47"/>
        </w:rPr>
      </w:pPr>
      <w:r>
        <w:rPr>
          <w:rFonts w:ascii="仿宋" w:hAnsi="仿宋" w:eastAsia="仿宋" w:cs="仿宋"/>
          <w:b/>
          <w:bCs/>
          <w:spacing w:val="1"/>
          <w:sz w:val="47"/>
          <w:szCs w:val="47"/>
        </w:rPr>
        <w:t>成都农业科技中心</w:t>
      </w:r>
    </w:p>
    <w:p w14:paraId="77FC09A6">
      <w:pPr>
        <w:spacing w:before="75" w:line="225" w:lineRule="auto"/>
        <w:ind w:left="2515"/>
        <w:outlineLvl w:val="1"/>
        <w:rPr>
          <w:rFonts w:ascii="仿宋" w:hAnsi="仿宋" w:eastAsia="仿宋" w:cs="仿宋"/>
          <w:sz w:val="47"/>
          <w:szCs w:val="47"/>
        </w:rPr>
      </w:pPr>
      <w:r>
        <w:rPr>
          <w:rFonts w:ascii="仿宋" w:hAnsi="仿宋" w:eastAsia="仿宋" w:cs="仿宋"/>
          <w:b/>
          <w:bCs/>
          <w:spacing w:val="-5"/>
          <w:sz w:val="47"/>
          <w:szCs w:val="47"/>
        </w:rPr>
        <w:t>电梯维护保养服务</w:t>
      </w:r>
    </w:p>
    <w:p w14:paraId="0FE3A69D">
      <w:pPr>
        <w:spacing w:line="247" w:lineRule="auto"/>
        <w:rPr>
          <w:rFonts w:ascii="Arial"/>
          <w:sz w:val="21"/>
        </w:rPr>
      </w:pPr>
    </w:p>
    <w:p w14:paraId="4BA44725">
      <w:pPr>
        <w:spacing w:line="247" w:lineRule="auto"/>
        <w:rPr>
          <w:rFonts w:ascii="Arial"/>
          <w:sz w:val="21"/>
        </w:rPr>
      </w:pPr>
    </w:p>
    <w:p w14:paraId="6690F316">
      <w:pPr>
        <w:spacing w:line="247" w:lineRule="auto"/>
        <w:rPr>
          <w:rFonts w:ascii="Arial"/>
          <w:sz w:val="21"/>
        </w:rPr>
      </w:pPr>
    </w:p>
    <w:p w14:paraId="7D1CC28A">
      <w:pPr>
        <w:spacing w:line="247" w:lineRule="auto"/>
        <w:rPr>
          <w:rFonts w:ascii="Arial"/>
          <w:sz w:val="21"/>
        </w:rPr>
      </w:pPr>
    </w:p>
    <w:p w14:paraId="20870EEE">
      <w:pPr>
        <w:spacing w:line="247" w:lineRule="auto"/>
        <w:rPr>
          <w:rFonts w:ascii="Arial"/>
          <w:sz w:val="21"/>
        </w:rPr>
      </w:pPr>
    </w:p>
    <w:p w14:paraId="269E4632">
      <w:pPr>
        <w:spacing w:line="247" w:lineRule="auto"/>
        <w:rPr>
          <w:rFonts w:ascii="Arial"/>
          <w:sz w:val="21"/>
        </w:rPr>
      </w:pPr>
    </w:p>
    <w:p w14:paraId="7BBAEFA6">
      <w:pPr>
        <w:spacing w:line="247" w:lineRule="auto"/>
        <w:rPr>
          <w:rFonts w:ascii="Arial"/>
          <w:sz w:val="21"/>
        </w:rPr>
      </w:pPr>
    </w:p>
    <w:p w14:paraId="1351B14F">
      <w:pPr>
        <w:spacing w:line="247" w:lineRule="auto"/>
        <w:rPr>
          <w:rFonts w:ascii="Arial"/>
          <w:sz w:val="21"/>
        </w:rPr>
      </w:pPr>
    </w:p>
    <w:p w14:paraId="6EB021D1">
      <w:pPr>
        <w:spacing w:line="247" w:lineRule="auto"/>
        <w:rPr>
          <w:rFonts w:ascii="Arial"/>
          <w:sz w:val="21"/>
        </w:rPr>
      </w:pPr>
    </w:p>
    <w:p w14:paraId="4E76E1F0">
      <w:pPr>
        <w:spacing w:line="247" w:lineRule="auto"/>
        <w:rPr>
          <w:rFonts w:ascii="Arial"/>
          <w:sz w:val="21"/>
        </w:rPr>
      </w:pPr>
    </w:p>
    <w:p w14:paraId="0E9BD758">
      <w:pPr>
        <w:spacing w:line="247" w:lineRule="auto"/>
        <w:rPr>
          <w:rFonts w:ascii="Arial"/>
          <w:sz w:val="21"/>
        </w:rPr>
      </w:pPr>
    </w:p>
    <w:p w14:paraId="0FBB005D">
      <w:pPr>
        <w:spacing w:line="247" w:lineRule="auto"/>
        <w:rPr>
          <w:rFonts w:ascii="Arial"/>
          <w:sz w:val="21"/>
        </w:rPr>
      </w:pPr>
    </w:p>
    <w:p w14:paraId="109FC40E">
      <w:pPr>
        <w:spacing w:line="247" w:lineRule="auto"/>
        <w:rPr>
          <w:rFonts w:ascii="Arial"/>
          <w:sz w:val="21"/>
        </w:rPr>
      </w:pPr>
    </w:p>
    <w:p w14:paraId="1B0C8CCC">
      <w:pPr>
        <w:spacing w:line="247" w:lineRule="auto"/>
        <w:rPr>
          <w:rFonts w:ascii="Arial"/>
          <w:sz w:val="21"/>
        </w:rPr>
      </w:pPr>
    </w:p>
    <w:p w14:paraId="5A0E62BA">
      <w:pPr>
        <w:spacing w:line="247" w:lineRule="auto"/>
        <w:rPr>
          <w:rFonts w:ascii="Arial"/>
          <w:sz w:val="21"/>
        </w:rPr>
      </w:pPr>
    </w:p>
    <w:p w14:paraId="2815A0E4">
      <w:pPr>
        <w:spacing w:before="102" w:line="229" w:lineRule="auto"/>
        <w:ind w:left="707"/>
        <w:rPr>
          <w:rFonts w:ascii="楷体" w:hAnsi="楷体" w:eastAsia="楷体" w:cs="楷体"/>
          <w:sz w:val="31"/>
          <w:szCs w:val="31"/>
        </w:rPr>
      </w:pPr>
      <w:r>
        <w:rPr>
          <w:rFonts w:ascii="楷体" w:hAnsi="楷体" w:eastAsia="楷体" w:cs="楷体"/>
          <w:spacing w:val="2"/>
          <w:sz w:val="31"/>
          <w:szCs w:val="31"/>
        </w:rPr>
        <w:t>甲</w:t>
      </w:r>
      <w:r>
        <w:rPr>
          <w:rFonts w:ascii="楷体" w:hAnsi="楷体" w:eastAsia="楷体" w:cs="楷体"/>
          <w:spacing w:val="12"/>
          <w:sz w:val="31"/>
          <w:szCs w:val="31"/>
        </w:rPr>
        <w:t xml:space="preserve">    </w:t>
      </w:r>
      <w:r>
        <w:rPr>
          <w:rFonts w:ascii="楷体" w:hAnsi="楷体" w:eastAsia="楷体" w:cs="楷体"/>
          <w:spacing w:val="2"/>
          <w:sz w:val="31"/>
          <w:szCs w:val="31"/>
        </w:rPr>
        <w:t>方：成都农业科技中心</w:t>
      </w:r>
    </w:p>
    <w:p w14:paraId="1A225241">
      <w:pPr>
        <w:spacing w:before="238" w:line="411" w:lineRule="exact"/>
        <w:ind w:left="705"/>
        <w:rPr>
          <w:rFonts w:ascii="楷体" w:hAnsi="楷体" w:eastAsia="楷体" w:cs="楷体"/>
          <w:sz w:val="31"/>
          <w:szCs w:val="31"/>
        </w:rPr>
      </w:pPr>
      <w:r>
        <w:rPr>
          <w:rFonts w:ascii="楷体" w:hAnsi="楷体" w:eastAsia="楷体" w:cs="楷体"/>
          <w:spacing w:val="-20"/>
          <w:position w:val="1"/>
          <w:sz w:val="31"/>
          <w:szCs w:val="31"/>
        </w:rPr>
        <w:t>乙</w:t>
      </w:r>
      <w:r>
        <w:rPr>
          <w:rFonts w:ascii="楷体" w:hAnsi="楷体" w:eastAsia="楷体" w:cs="楷体"/>
          <w:spacing w:val="11"/>
          <w:position w:val="1"/>
          <w:sz w:val="31"/>
          <w:szCs w:val="31"/>
        </w:rPr>
        <w:t xml:space="preserve">    </w:t>
      </w:r>
      <w:r>
        <w:rPr>
          <w:rFonts w:ascii="楷体" w:hAnsi="楷体" w:eastAsia="楷体" w:cs="楷体"/>
          <w:spacing w:val="-20"/>
          <w:position w:val="1"/>
          <w:sz w:val="31"/>
          <w:szCs w:val="31"/>
        </w:rPr>
        <w:t>方：</w:t>
      </w:r>
    </w:p>
    <w:p w14:paraId="11459935">
      <w:pPr>
        <w:spacing w:before="212" w:line="231" w:lineRule="auto"/>
        <w:ind w:left="668"/>
        <w:rPr>
          <w:rFonts w:ascii="楷体" w:hAnsi="楷体" w:eastAsia="楷体" w:cs="楷体"/>
          <w:sz w:val="31"/>
          <w:szCs w:val="31"/>
        </w:rPr>
      </w:pPr>
      <w:r>
        <w:rPr>
          <w:rFonts w:ascii="楷体" w:hAnsi="楷体" w:eastAsia="楷体" w:cs="楷体"/>
          <w:sz w:val="31"/>
          <w:szCs w:val="31"/>
        </w:rPr>
        <w:t>签订时间：</w:t>
      </w:r>
      <w:r>
        <w:rPr>
          <w:rFonts w:ascii="楷体" w:hAnsi="楷体" w:eastAsia="楷体" w:cs="楷体"/>
          <w:spacing w:val="7"/>
          <w:sz w:val="31"/>
          <w:szCs w:val="31"/>
        </w:rPr>
        <w:t xml:space="preserve">          </w:t>
      </w:r>
      <w:r>
        <w:rPr>
          <w:rFonts w:ascii="楷体" w:hAnsi="楷体" w:eastAsia="楷体" w:cs="楷体"/>
          <w:sz w:val="31"/>
          <w:szCs w:val="31"/>
        </w:rPr>
        <w:t>年</w:t>
      </w:r>
      <w:r>
        <w:rPr>
          <w:rFonts w:ascii="楷体" w:hAnsi="楷体" w:eastAsia="楷体" w:cs="楷体"/>
          <w:spacing w:val="15"/>
          <w:sz w:val="31"/>
          <w:szCs w:val="31"/>
        </w:rPr>
        <w:t xml:space="preserve">   </w:t>
      </w:r>
      <w:r>
        <w:rPr>
          <w:rFonts w:ascii="楷体" w:hAnsi="楷体" w:eastAsia="楷体" w:cs="楷体"/>
          <w:sz w:val="31"/>
          <w:szCs w:val="31"/>
        </w:rPr>
        <w:t>月</w:t>
      </w:r>
      <w:r>
        <w:rPr>
          <w:rFonts w:ascii="楷体" w:hAnsi="楷体" w:eastAsia="楷体" w:cs="楷体"/>
          <w:spacing w:val="33"/>
          <w:sz w:val="31"/>
          <w:szCs w:val="31"/>
        </w:rPr>
        <w:t xml:space="preserve">   </w:t>
      </w:r>
      <w:r>
        <w:rPr>
          <w:rFonts w:ascii="楷体" w:hAnsi="楷体" w:eastAsia="楷体" w:cs="楷体"/>
          <w:sz w:val="31"/>
          <w:szCs w:val="31"/>
        </w:rPr>
        <w:t>日</w:t>
      </w:r>
    </w:p>
    <w:p w14:paraId="146D96B6">
      <w:pPr>
        <w:spacing w:before="233" w:line="229" w:lineRule="auto"/>
        <w:ind w:left="668"/>
        <w:rPr>
          <w:rFonts w:ascii="楷体" w:hAnsi="楷体" w:eastAsia="楷体" w:cs="楷体"/>
          <w:sz w:val="31"/>
          <w:szCs w:val="31"/>
        </w:rPr>
      </w:pPr>
      <w:r>
        <w:rPr>
          <w:rFonts w:ascii="楷体" w:hAnsi="楷体" w:eastAsia="楷体" w:cs="楷体"/>
          <w:spacing w:val="8"/>
          <w:sz w:val="31"/>
          <w:szCs w:val="31"/>
        </w:rPr>
        <w:t>签订地点：成都市</w:t>
      </w:r>
    </w:p>
    <w:p w14:paraId="3130FD4A">
      <w:pPr>
        <w:spacing w:line="229" w:lineRule="auto"/>
        <w:rPr>
          <w:rFonts w:ascii="楷体" w:hAnsi="楷体" w:eastAsia="楷体" w:cs="楷体"/>
          <w:sz w:val="31"/>
          <w:szCs w:val="31"/>
        </w:rPr>
        <w:sectPr>
          <w:footerReference r:id="rId28" w:type="default"/>
          <w:pgSz w:w="11906" w:h="16839"/>
          <w:pgMar w:top="1440" w:right="1803" w:bottom="1440" w:left="1803" w:header="850" w:footer="992" w:gutter="0"/>
          <w:pgNumType w:fmt="decimal"/>
          <w:cols w:space="720" w:num="1"/>
        </w:sectPr>
      </w:pPr>
    </w:p>
    <w:p w14:paraId="01BB8C47">
      <w:pPr>
        <w:pStyle w:val="30"/>
        <w:spacing w:before="113" w:line="225" w:lineRule="auto"/>
        <w:ind w:left="3448"/>
        <w:outlineLvl w:val="1"/>
        <w:rPr>
          <w:rFonts w:ascii="Arial"/>
          <w:sz w:val="21"/>
        </w:rPr>
      </w:pPr>
      <w:r>
        <w:rPr>
          <w:b/>
          <w:bCs/>
          <w:spacing w:val="5"/>
          <w:sz w:val="35"/>
          <w:szCs w:val="35"/>
        </w:rPr>
        <w:t>成都农业科技中心</w:t>
      </w:r>
    </w:p>
    <w:p w14:paraId="19231685">
      <w:pPr>
        <w:pStyle w:val="30"/>
        <w:spacing w:before="114" w:line="225" w:lineRule="auto"/>
        <w:ind w:left="3488"/>
        <w:outlineLvl w:val="1"/>
        <w:rPr>
          <w:sz w:val="35"/>
          <w:szCs w:val="35"/>
        </w:rPr>
      </w:pPr>
      <w:r>
        <w:rPr>
          <w:b/>
          <w:bCs/>
          <w:sz w:val="35"/>
          <w:szCs w:val="35"/>
        </w:rPr>
        <w:t>电梯维护保养服务</w:t>
      </w:r>
    </w:p>
    <w:p w14:paraId="4F2B5B49">
      <w:pPr>
        <w:spacing w:line="373" w:lineRule="auto"/>
        <w:rPr>
          <w:rFonts w:ascii="Arial"/>
          <w:sz w:val="21"/>
        </w:rPr>
      </w:pPr>
    </w:p>
    <w:p w14:paraId="180FF1EF">
      <w:pPr>
        <w:pStyle w:val="30"/>
        <w:spacing w:before="78" w:line="219" w:lineRule="auto"/>
        <w:ind w:left="45"/>
      </w:pPr>
      <w:r>
        <w:rPr>
          <w:b/>
          <w:bCs/>
          <w:spacing w:val="-5"/>
        </w:rPr>
        <w:t>甲方：</w:t>
      </w:r>
      <w:r>
        <w:rPr>
          <w:spacing w:val="-5"/>
          <w:u w:val="single" w:color="auto"/>
        </w:rPr>
        <w:t xml:space="preserve"> </w:t>
      </w:r>
      <w:r>
        <w:rPr>
          <w:b/>
          <w:bCs/>
          <w:spacing w:val="-5"/>
          <w:u w:val="single" w:color="auto"/>
        </w:rPr>
        <w:t>成都农业科技中心</w:t>
      </w:r>
      <w:r>
        <w:rPr>
          <w:u w:val="single" w:color="auto"/>
        </w:rPr>
        <w:t xml:space="preserve">     </w:t>
      </w:r>
    </w:p>
    <w:p w14:paraId="16559992">
      <w:pPr>
        <w:pStyle w:val="30"/>
        <w:spacing w:before="105" w:line="222" w:lineRule="auto"/>
        <w:ind w:left="33"/>
        <w:rPr>
          <w:rFonts w:hint="default" w:eastAsia="宋体"/>
          <w:lang w:val="en-US" w:eastAsia="zh-CN"/>
        </w:rPr>
      </w:pPr>
      <w:r>
        <w:rPr>
          <w:b/>
          <w:bCs/>
          <w:spacing w:val="-6"/>
        </w:rPr>
        <w:t>乙方：</w:t>
      </w:r>
      <w:r>
        <w:rPr>
          <w:spacing w:val="-6"/>
          <w:u w:val="single" w:color="auto"/>
        </w:rPr>
        <w:t xml:space="preserve">                      </w:t>
      </w:r>
      <w:r>
        <w:rPr>
          <w:rFonts w:hint="eastAsia"/>
          <w:spacing w:val="-6"/>
          <w:u w:val="single" w:color="auto"/>
          <w:lang w:val="en-US" w:eastAsia="zh-CN"/>
        </w:rPr>
        <w:t xml:space="preserve">  </w:t>
      </w:r>
    </w:p>
    <w:p w14:paraId="52AD6BA7">
      <w:pPr>
        <w:spacing w:before="319" w:line="226" w:lineRule="auto"/>
        <w:ind w:left="4532"/>
        <w:rPr>
          <w:rFonts w:ascii="黑体" w:hAnsi="黑体" w:eastAsia="黑体" w:cs="黑体"/>
          <w:sz w:val="35"/>
          <w:szCs w:val="35"/>
        </w:rPr>
      </w:pPr>
      <w:r>
        <w:rPr>
          <w:rFonts w:ascii="黑体" w:hAnsi="黑体" w:eastAsia="黑体" w:cs="黑体"/>
          <w:spacing w:val="7"/>
          <w:sz w:val="35"/>
          <w:szCs w:val="35"/>
        </w:rPr>
        <w:t>编制依据</w:t>
      </w:r>
    </w:p>
    <w:p w14:paraId="10DD08B4">
      <w:pPr>
        <w:pStyle w:val="30"/>
        <w:spacing w:before="145" w:line="214" w:lineRule="auto"/>
        <w:ind w:left="1316"/>
        <w:rPr>
          <w:rFonts w:ascii="FangSong_GB2312" w:hAnsi="FangSong_GB2312" w:eastAsia="FangSong_GB2312" w:cs="FangSong_GB2312"/>
        </w:rPr>
      </w:pPr>
      <w:r>
        <w:rPr>
          <w:sz w:val="18"/>
          <w:szCs w:val="18"/>
        </w:rPr>
        <w:t xml:space="preserve">1)  </w:t>
      </w:r>
      <w:r>
        <w:rPr>
          <w:rFonts w:ascii="FangSong_GB2312" w:hAnsi="FangSong_GB2312" w:eastAsia="FangSong_GB2312" w:cs="FangSong_GB2312"/>
        </w:rPr>
        <w:t>《中华人民共和国民法典》</w:t>
      </w:r>
    </w:p>
    <w:p w14:paraId="6E8B998C">
      <w:pPr>
        <w:pStyle w:val="30"/>
        <w:spacing w:before="85" w:line="214" w:lineRule="auto"/>
        <w:ind w:left="1305"/>
        <w:rPr>
          <w:rFonts w:ascii="FangSong_GB2312" w:hAnsi="FangSong_GB2312" w:eastAsia="FangSong_GB2312" w:cs="FangSong_GB2312"/>
        </w:rPr>
      </w:pPr>
      <w:r>
        <w:rPr>
          <w:spacing w:val="1"/>
          <w:sz w:val="18"/>
          <w:szCs w:val="18"/>
        </w:rPr>
        <w:t xml:space="preserve">2)  </w:t>
      </w:r>
      <w:r>
        <w:rPr>
          <w:rFonts w:ascii="FangSong_GB2312" w:hAnsi="FangSong_GB2312" w:eastAsia="FangSong_GB2312" w:cs="FangSong_GB2312"/>
          <w:spacing w:val="1"/>
        </w:rPr>
        <w:t>《中华人民共和国招标投标法》</w:t>
      </w:r>
    </w:p>
    <w:p w14:paraId="47170025">
      <w:pPr>
        <w:pStyle w:val="30"/>
        <w:spacing w:before="84" w:line="214" w:lineRule="auto"/>
        <w:ind w:left="1306"/>
        <w:rPr>
          <w:rFonts w:ascii="FangSong_GB2312" w:hAnsi="FangSong_GB2312" w:eastAsia="FangSong_GB2312" w:cs="FangSong_GB2312"/>
        </w:rPr>
      </w:pPr>
      <w:r>
        <w:rPr>
          <w:sz w:val="18"/>
          <w:szCs w:val="18"/>
        </w:rPr>
        <w:t xml:space="preserve">3)  </w:t>
      </w:r>
      <w:r>
        <w:rPr>
          <w:rFonts w:ascii="FangSong_GB2312" w:hAnsi="FangSong_GB2312" w:eastAsia="FangSong_GB2312" w:cs="FangSong_GB2312"/>
        </w:rPr>
        <w:t>《中华人民共和国特种设备安全法》</w:t>
      </w:r>
    </w:p>
    <w:p w14:paraId="1D81D0F2">
      <w:pPr>
        <w:pStyle w:val="30"/>
        <w:spacing w:before="84" w:line="216" w:lineRule="auto"/>
        <w:ind w:left="1302"/>
        <w:rPr>
          <w:rFonts w:ascii="FangSong_GB2312" w:hAnsi="FangSong_GB2312" w:eastAsia="FangSong_GB2312" w:cs="FangSong_GB2312"/>
        </w:rPr>
      </w:pPr>
      <w:r>
        <w:rPr>
          <w:spacing w:val="1"/>
          <w:sz w:val="18"/>
          <w:szCs w:val="18"/>
        </w:rPr>
        <w:t xml:space="preserve">4)  </w:t>
      </w:r>
      <w:r>
        <w:rPr>
          <w:rFonts w:ascii="FangSong_GB2312" w:hAnsi="FangSong_GB2312" w:eastAsia="FangSong_GB2312" w:cs="FangSong_GB2312"/>
          <w:spacing w:val="1"/>
        </w:rPr>
        <w:t>《特种设备安全监察条例》</w:t>
      </w:r>
    </w:p>
    <w:p w14:paraId="61F3D2B4">
      <w:pPr>
        <w:pStyle w:val="30"/>
        <w:spacing w:before="84" w:line="214" w:lineRule="auto"/>
        <w:ind w:left="1306"/>
        <w:rPr>
          <w:rFonts w:ascii="FangSong_GB2312" w:hAnsi="FangSong_GB2312" w:eastAsia="FangSong_GB2312" w:cs="FangSong_GB2312"/>
        </w:rPr>
      </w:pPr>
      <w:r>
        <w:rPr>
          <w:sz w:val="18"/>
          <w:szCs w:val="18"/>
        </w:rPr>
        <w:t xml:space="preserve">5)  </w:t>
      </w:r>
      <w:r>
        <w:rPr>
          <w:rFonts w:ascii="FangSong_GB2312" w:hAnsi="FangSong_GB2312" w:eastAsia="FangSong_GB2312" w:cs="FangSong_GB2312"/>
        </w:rPr>
        <w:t>《四川省电梯安全监督管理办法》</w:t>
      </w:r>
    </w:p>
    <w:p w14:paraId="34448174">
      <w:pPr>
        <w:pStyle w:val="30"/>
        <w:spacing w:before="84" w:line="214" w:lineRule="auto"/>
        <w:ind w:left="1304"/>
        <w:rPr>
          <w:rFonts w:ascii="FangSong_GB2312" w:hAnsi="FangSong_GB2312" w:eastAsia="FangSong_GB2312" w:cs="FangSong_GB2312"/>
        </w:rPr>
      </w:pPr>
      <w:r>
        <w:rPr>
          <w:spacing w:val="1"/>
          <w:sz w:val="18"/>
          <w:szCs w:val="18"/>
        </w:rPr>
        <w:t xml:space="preserve">6)  </w:t>
      </w:r>
      <w:r>
        <w:rPr>
          <w:rFonts w:ascii="FangSong_GB2312" w:hAnsi="FangSong_GB2312" w:eastAsia="FangSong_GB2312" w:cs="FangSong_GB2312"/>
          <w:spacing w:val="1"/>
        </w:rPr>
        <w:t>《成都市电梯安全监督管理办法》</w:t>
      </w:r>
    </w:p>
    <w:p w14:paraId="0FAAD89F">
      <w:pPr>
        <w:pStyle w:val="30"/>
        <w:spacing w:before="84" w:line="214" w:lineRule="auto"/>
        <w:ind w:left="1307"/>
        <w:rPr>
          <w:rFonts w:ascii="FangSong_GB2312" w:hAnsi="FangSong_GB2312" w:eastAsia="FangSong_GB2312" w:cs="FangSong_GB2312"/>
        </w:rPr>
      </w:pPr>
      <w:r>
        <w:rPr>
          <w:spacing w:val="-2"/>
          <w:sz w:val="18"/>
          <w:szCs w:val="18"/>
        </w:rPr>
        <w:t xml:space="preserve">7)  </w:t>
      </w:r>
      <w:r>
        <w:rPr>
          <w:rFonts w:ascii="FangSong_GB2312" w:hAnsi="FangSong_GB2312" w:eastAsia="FangSong_GB2312" w:cs="FangSong_GB2312"/>
          <w:spacing w:val="-2"/>
        </w:rPr>
        <w:t>《成都市电梯维护保养服务规范》</w:t>
      </w:r>
      <w:r>
        <w:rPr>
          <w:rFonts w:ascii="FangSong_GB2312" w:hAnsi="FangSong_GB2312" w:eastAsia="FangSong_GB2312" w:cs="FangSong_GB2312"/>
          <w:spacing w:val="-60"/>
        </w:rPr>
        <w:t xml:space="preserve"> </w:t>
      </w:r>
      <w:r>
        <w:rPr>
          <w:rFonts w:ascii="FangSong_GB2312" w:hAnsi="FangSong_GB2312" w:eastAsia="FangSong_GB2312" w:cs="FangSong_GB2312"/>
          <w:spacing w:val="-2"/>
        </w:rPr>
        <w:t>(T/CDEA</w:t>
      </w:r>
      <w:r>
        <w:rPr>
          <w:rFonts w:ascii="FangSong_GB2312" w:hAnsi="FangSong_GB2312" w:eastAsia="FangSong_GB2312" w:cs="FangSong_GB2312"/>
          <w:spacing w:val="24"/>
        </w:rPr>
        <w:t xml:space="preserve"> </w:t>
      </w:r>
      <w:r>
        <w:rPr>
          <w:rFonts w:ascii="FangSong_GB2312" w:hAnsi="FangSong_GB2312" w:eastAsia="FangSong_GB2312" w:cs="FangSong_GB2312"/>
          <w:spacing w:val="-2"/>
        </w:rPr>
        <w:t>001-2020)</w:t>
      </w:r>
    </w:p>
    <w:p w14:paraId="5C0C4BFF">
      <w:pPr>
        <w:pStyle w:val="30"/>
        <w:spacing w:before="85" w:line="214" w:lineRule="auto"/>
        <w:ind w:left="1303"/>
        <w:rPr>
          <w:rFonts w:ascii="FangSong_GB2312" w:hAnsi="FangSong_GB2312" w:eastAsia="FangSong_GB2312" w:cs="FangSong_GB2312"/>
        </w:rPr>
      </w:pPr>
      <w:r>
        <w:rPr>
          <w:sz w:val="18"/>
          <w:szCs w:val="18"/>
        </w:rPr>
        <w:t xml:space="preserve">8)  </w:t>
      </w:r>
      <w:r>
        <w:rPr>
          <w:rFonts w:ascii="FangSong_GB2312" w:hAnsi="FangSong_GB2312" w:eastAsia="FangSong_GB2312" w:cs="FangSong_GB2312"/>
        </w:rPr>
        <w:t>DB51/T 2239-2016《四川省</w:t>
      </w:r>
      <w:r>
        <w:rPr>
          <w:rFonts w:ascii="FangSong_GB2312" w:hAnsi="FangSong_GB2312" w:eastAsia="FangSong_GB2312" w:cs="FangSong_GB2312"/>
          <w:spacing w:val="-1"/>
        </w:rPr>
        <w:t>地方标准-电梯维护保养规范》</w:t>
      </w:r>
    </w:p>
    <w:p w14:paraId="402F4F06">
      <w:pPr>
        <w:pStyle w:val="30"/>
        <w:spacing w:before="86" w:line="214" w:lineRule="auto"/>
        <w:ind w:left="1303"/>
        <w:rPr>
          <w:rFonts w:ascii="FangSong_GB2312" w:hAnsi="FangSong_GB2312" w:eastAsia="FangSong_GB2312" w:cs="FangSong_GB2312"/>
        </w:rPr>
      </w:pPr>
      <w:r>
        <w:rPr>
          <w:sz w:val="18"/>
          <w:szCs w:val="18"/>
        </w:rPr>
        <w:t xml:space="preserve">9)  </w:t>
      </w:r>
      <w:r>
        <w:rPr>
          <w:rFonts w:ascii="FangSong_GB2312" w:hAnsi="FangSong_GB2312" w:eastAsia="FangSong_GB2312" w:cs="FangSong_GB2312"/>
        </w:rPr>
        <w:t>DB51/T 2240-2016《</w:t>
      </w:r>
      <w:r>
        <w:rPr>
          <w:rFonts w:ascii="FangSong_GB2312" w:hAnsi="FangSong_GB2312" w:eastAsia="FangSong_GB2312" w:cs="FangSong_GB2312"/>
          <w:spacing w:val="-1"/>
        </w:rPr>
        <w:t>四川省地方标准-住宅电梯使用安全管理规范》</w:t>
      </w:r>
    </w:p>
    <w:p w14:paraId="5C04AA42">
      <w:pPr>
        <w:pStyle w:val="30"/>
        <w:spacing w:before="84" w:line="214" w:lineRule="auto"/>
        <w:ind w:left="1316"/>
        <w:rPr>
          <w:rFonts w:ascii="FangSong_GB2312" w:hAnsi="FangSong_GB2312" w:eastAsia="FangSong_GB2312" w:cs="FangSong_GB2312"/>
        </w:rPr>
      </w:pPr>
      <w:r>
        <w:rPr>
          <w:spacing w:val="-2"/>
          <w:sz w:val="18"/>
          <w:szCs w:val="18"/>
        </w:rPr>
        <w:t>10)</w:t>
      </w:r>
      <w:r>
        <w:rPr>
          <w:spacing w:val="40"/>
          <w:sz w:val="18"/>
          <w:szCs w:val="18"/>
        </w:rPr>
        <w:t xml:space="preserve"> </w:t>
      </w:r>
      <w:r>
        <w:rPr>
          <w:rFonts w:ascii="FangSong_GB2312" w:hAnsi="FangSong_GB2312" w:eastAsia="FangSong_GB2312" w:cs="FangSong_GB2312"/>
          <w:spacing w:val="-2"/>
        </w:rPr>
        <w:t>TSG 08-2017《特种设备使用管理规则》</w:t>
      </w:r>
    </w:p>
    <w:p w14:paraId="2BBE4D28">
      <w:pPr>
        <w:pStyle w:val="30"/>
        <w:spacing w:before="85" w:line="214" w:lineRule="auto"/>
        <w:ind w:left="1316"/>
        <w:rPr>
          <w:rFonts w:ascii="FangSong_GB2312" w:hAnsi="FangSong_GB2312" w:eastAsia="FangSong_GB2312" w:cs="FangSong_GB2312"/>
        </w:rPr>
      </w:pPr>
      <w:r>
        <w:rPr>
          <w:spacing w:val="-2"/>
          <w:sz w:val="18"/>
          <w:szCs w:val="18"/>
        </w:rPr>
        <w:t>11)</w:t>
      </w:r>
      <w:r>
        <w:rPr>
          <w:spacing w:val="44"/>
          <w:sz w:val="18"/>
          <w:szCs w:val="18"/>
        </w:rPr>
        <w:t xml:space="preserve"> </w:t>
      </w:r>
      <w:r>
        <w:rPr>
          <w:rFonts w:ascii="FangSong_GB2312" w:hAnsi="FangSong_GB2312" w:eastAsia="FangSong_GB2312" w:cs="FangSong_GB2312"/>
          <w:spacing w:val="-2"/>
        </w:rPr>
        <w:t>TSG T5002-2017《电梯维护保养规则》</w:t>
      </w:r>
    </w:p>
    <w:p w14:paraId="479711A3">
      <w:pPr>
        <w:pStyle w:val="30"/>
        <w:spacing w:before="86" w:line="214" w:lineRule="auto"/>
        <w:ind w:left="1316"/>
        <w:rPr>
          <w:rFonts w:ascii="FangSong_GB2312" w:hAnsi="FangSong_GB2312" w:eastAsia="FangSong_GB2312" w:cs="FangSong_GB2312"/>
        </w:rPr>
      </w:pPr>
      <w:r>
        <w:rPr>
          <w:spacing w:val="-2"/>
          <w:sz w:val="18"/>
          <w:szCs w:val="18"/>
        </w:rPr>
        <w:t>12)</w:t>
      </w:r>
      <w:r>
        <w:rPr>
          <w:spacing w:val="43"/>
          <w:sz w:val="18"/>
          <w:szCs w:val="18"/>
        </w:rPr>
        <w:t xml:space="preserve"> </w:t>
      </w:r>
      <w:r>
        <w:rPr>
          <w:rFonts w:ascii="FangSong_GB2312" w:hAnsi="FangSong_GB2312" w:eastAsia="FangSong_GB2312" w:cs="FangSong_GB2312"/>
          <w:spacing w:val="-2"/>
        </w:rPr>
        <w:t>TSG T7001-2009《电梯监督检验和定期检验规则-曳引与强制驱动电梯》</w:t>
      </w:r>
    </w:p>
    <w:p w14:paraId="6193E880">
      <w:pPr>
        <w:pStyle w:val="30"/>
        <w:spacing w:before="84" w:line="214" w:lineRule="auto"/>
        <w:ind w:left="1316"/>
        <w:rPr>
          <w:rFonts w:ascii="FangSong_GB2312" w:hAnsi="FangSong_GB2312" w:eastAsia="FangSong_GB2312" w:cs="FangSong_GB2312"/>
        </w:rPr>
      </w:pPr>
      <w:r>
        <w:rPr>
          <w:spacing w:val="-2"/>
          <w:sz w:val="18"/>
          <w:szCs w:val="18"/>
        </w:rPr>
        <w:t>13)</w:t>
      </w:r>
      <w:r>
        <w:rPr>
          <w:spacing w:val="43"/>
          <w:sz w:val="18"/>
          <w:szCs w:val="18"/>
        </w:rPr>
        <w:t xml:space="preserve"> </w:t>
      </w:r>
      <w:r>
        <w:rPr>
          <w:rFonts w:ascii="FangSong_GB2312" w:hAnsi="FangSong_GB2312" w:eastAsia="FangSong_GB2312" w:cs="FangSong_GB2312"/>
          <w:spacing w:val="-2"/>
        </w:rPr>
        <w:t>TSG T7005-2012《电梯监督检验和定期检验规则-自动扶梯与自动人行道》</w:t>
      </w:r>
    </w:p>
    <w:p w14:paraId="43511FB5">
      <w:pPr>
        <w:pStyle w:val="30"/>
        <w:spacing w:before="83" w:line="213" w:lineRule="auto"/>
        <w:ind w:left="1316"/>
        <w:rPr>
          <w:rFonts w:ascii="FangSong_GB2312" w:hAnsi="FangSong_GB2312" w:eastAsia="FangSong_GB2312" w:cs="FangSong_GB2312"/>
        </w:rPr>
      </w:pPr>
      <w:r>
        <w:rPr>
          <w:spacing w:val="-2"/>
          <w:sz w:val="18"/>
          <w:szCs w:val="18"/>
        </w:rPr>
        <w:t>14)</w:t>
      </w:r>
      <w:r>
        <w:rPr>
          <w:spacing w:val="35"/>
          <w:sz w:val="18"/>
          <w:szCs w:val="18"/>
        </w:rPr>
        <w:t xml:space="preserve"> </w:t>
      </w:r>
      <w:r>
        <w:rPr>
          <w:rFonts w:ascii="FangSong_GB2312" w:hAnsi="FangSong_GB2312" w:eastAsia="FangSong_GB2312" w:cs="FangSong_GB2312"/>
          <w:spacing w:val="-2"/>
        </w:rPr>
        <w:t>《电梯施工类别划分表》</w:t>
      </w:r>
    </w:p>
    <w:p w14:paraId="031816AA">
      <w:pPr>
        <w:spacing w:line="432" w:lineRule="auto"/>
        <w:rPr>
          <w:rFonts w:ascii="Arial"/>
          <w:sz w:val="21"/>
        </w:rPr>
      </w:pPr>
    </w:p>
    <w:p w14:paraId="2DF1172F">
      <w:pPr>
        <w:spacing w:before="72" w:line="316" w:lineRule="auto"/>
        <w:ind w:left="13" w:firstLine="388"/>
        <w:jc w:val="both"/>
        <w:rPr>
          <w:rFonts w:ascii="FangSong_GB2312" w:hAnsi="FangSong_GB2312" w:eastAsia="FangSong_GB2312" w:cs="FangSong_GB2312"/>
          <w:sz w:val="22"/>
          <w:szCs w:val="22"/>
        </w:rPr>
      </w:pPr>
      <w:r>
        <w:rPr>
          <w:rFonts w:ascii="FangSong_GB2312" w:hAnsi="FangSong_GB2312" w:eastAsia="FangSong_GB2312" w:cs="FangSong_GB2312"/>
          <w:spacing w:val="-3"/>
          <w:sz w:val="22"/>
          <w:szCs w:val="22"/>
        </w:rPr>
        <w:t>根据《中华人民共和国民法典》《中华人民共和国特种设备安全法》《电梯维护保养规则》《成都</w:t>
      </w:r>
      <w:r>
        <w:rPr>
          <w:rFonts w:ascii="FangSong_GB2312" w:hAnsi="FangSong_GB2312" w:eastAsia="FangSong_GB2312" w:cs="FangSong_GB2312"/>
          <w:spacing w:val="17"/>
          <w:sz w:val="22"/>
          <w:szCs w:val="22"/>
        </w:rPr>
        <w:t xml:space="preserve"> </w:t>
      </w:r>
      <w:r>
        <w:rPr>
          <w:rFonts w:ascii="FangSong_GB2312" w:hAnsi="FangSong_GB2312" w:eastAsia="FangSong_GB2312" w:cs="FangSong_GB2312"/>
          <w:spacing w:val="1"/>
          <w:sz w:val="22"/>
          <w:szCs w:val="22"/>
        </w:rPr>
        <w:t>市电梯维护保养服务规范》以及电梯行业相关法律法规、标准及安全技术规范，为明确甲、乙双方的</w:t>
      </w:r>
      <w:r>
        <w:rPr>
          <w:rFonts w:ascii="FangSong_GB2312" w:hAnsi="FangSong_GB2312" w:eastAsia="FangSong_GB2312" w:cs="FangSong_GB2312"/>
          <w:spacing w:val="12"/>
          <w:sz w:val="22"/>
          <w:szCs w:val="22"/>
        </w:rPr>
        <w:t xml:space="preserve"> </w:t>
      </w:r>
      <w:r>
        <w:rPr>
          <w:rFonts w:ascii="FangSong_GB2312" w:hAnsi="FangSong_GB2312" w:eastAsia="FangSong_GB2312" w:cs="FangSong_GB2312"/>
          <w:spacing w:val="-1"/>
          <w:sz w:val="22"/>
          <w:szCs w:val="22"/>
        </w:rPr>
        <w:t>权利和义务，本着公平、诚实和信用的原则， 就乙方向甲方提供电梯维护保养事</w:t>
      </w:r>
      <w:r>
        <w:rPr>
          <w:rFonts w:ascii="FangSong_GB2312" w:hAnsi="FangSong_GB2312" w:eastAsia="FangSong_GB2312" w:cs="FangSong_GB2312"/>
          <w:spacing w:val="-2"/>
          <w:sz w:val="22"/>
          <w:szCs w:val="22"/>
        </w:rPr>
        <w:t>宜，经协商一致签订</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
          <w:sz w:val="22"/>
          <w:szCs w:val="22"/>
        </w:rPr>
        <w:t>本合同，并共同遵守。</w:t>
      </w:r>
    </w:p>
    <w:p w14:paraId="73E4831E">
      <w:pPr>
        <w:spacing w:line="215" w:lineRule="auto"/>
        <w:ind w:left="50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1.名称及地址</w:t>
      </w:r>
    </w:p>
    <w:p w14:paraId="1F3550FD">
      <w:pPr>
        <w:spacing w:before="103" w:line="217" w:lineRule="auto"/>
        <w:ind w:left="946"/>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1.1</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4"/>
          <w:sz w:val="22"/>
          <w:szCs w:val="22"/>
        </w:rPr>
        <w:t>项目名称：</w:t>
      </w:r>
    </w:p>
    <w:p w14:paraId="04B67C5C">
      <w:pPr>
        <w:spacing w:before="104" w:line="218" w:lineRule="auto"/>
        <w:ind w:left="946"/>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1.2</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4"/>
          <w:sz w:val="22"/>
          <w:szCs w:val="22"/>
        </w:rPr>
        <w:t>项目地址：</w:t>
      </w:r>
    </w:p>
    <w:p w14:paraId="0EFBA45F">
      <w:pPr>
        <w:spacing w:before="101" w:line="214" w:lineRule="auto"/>
        <w:ind w:left="503"/>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2.电梯基本信息</w:t>
      </w:r>
    </w:p>
    <w:p w14:paraId="12278C4E">
      <w:pPr>
        <w:spacing w:line="29" w:lineRule="auto"/>
        <w:rPr>
          <w:rFonts w:ascii="Arial"/>
          <w:sz w:val="2"/>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tbl>
      <w:tblPr>
        <w:tblStyle w:val="8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8"/>
        <w:gridCol w:w="3218"/>
        <w:gridCol w:w="2647"/>
        <w:gridCol w:w="1942"/>
      </w:tblGrid>
      <w:tr w14:paraId="6CCD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4573">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2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设备名称</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4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设备号码</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2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楼层数</w:t>
            </w:r>
          </w:p>
        </w:tc>
      </w:tr>
      <w:tr w14:paraId="0EF0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D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D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DT8（智慧）</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2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70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5993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7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B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DT9（智慧）</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D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F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r>
      <w:tr w14:paraId="3A72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88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B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DT13（食堂）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F6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4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r>
      <w:tr w14:paraId="0522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F5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B3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DT15（食堂）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D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7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r>
      <w:tr w14:paraId="3E68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D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6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DT18（研究生）</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7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7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r>
      <w:tr w14:paraId="529B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E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D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DT23（院士）</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D0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6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5C46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1C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C7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DT24（院士）</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60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4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79CD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9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6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DT4(垂直)</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F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D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3BE3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5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F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DT7(垂直)</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B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56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20FC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E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DT20(院士)</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B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E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2348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F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CC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DT11(科创)</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6F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3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61EA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E4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2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DT12(科创)</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F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9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57D3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D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C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DT16(博士后)</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3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1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r>
      <w:tr w14:paraId="16C4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69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9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DT17(博士后)</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6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r>
      <w:tr w14:paraId="0DA3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D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5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DT19(研究生)</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FA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43965905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5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5336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C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4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DT3（都市）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9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D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0746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2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EB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DT14（食堂）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8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1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r>
      <w:tr w14:paraId="712D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B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A6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DT21（院士）</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21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43991379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89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22A4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A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C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DT22（院士）</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9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43991380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A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14:paraId="13C6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2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2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DT1(都市)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6F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E8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726A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0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7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DT10（科创）</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F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E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1AA7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FE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20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DT2(都市)</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FE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43965898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F5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6E4F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6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BC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DT5（垂直）</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D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AA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r>
      <w:tr w14:paraId="6981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1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B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DT6（垂直）</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65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43991364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3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r>
      <w:tr w14:paraId="2317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A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42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DT31（生物）</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4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1136963737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0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0C02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F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5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DT32（生物）</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0C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1136963739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0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r>
      <w:tr w14:paraId="4C49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F1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A5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DT33（生物）货梯</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C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1136963741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5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r>
    </w:tbl>
    <w:p w14:paraId="5E5B7319">
      <w:pPr>
        <w:spacing w:before="78" w:line="214" w:lineRule="auto"/>
        <w:ind w:left="512"/>
        <w:rPr>
          <w:rFonts w:ascii="FangSong_GB2312" w:hAnsi="FangSong_GB2312" w:eastAsia="FangSong_GB2312" w:cs="FangSong_GB2312"/>
          <w:b/>
          <w:bCs/>
          <w:spacing w:val="-5"/>
          <w:sz w:val="24"/>
          <w:szCs w:val="24"/>
        </w:rPr>
      </w:pPr>
    </w:p>
    <w:p w14:paraId="45E3D5BB">
      <w:pPr>
        <w:spacing w:before="78" w:line="214" w:lineRule="auto"/>
        <w:ind w:left="512"/>
        <w:rPr>
          <w:rFonts w:ascii="FangSong_GB2312" w:hAnsi="FangSong_GB2312" w:eastAsia="FangSong_GB2312" w:cs="FangSong_GB2312"/>
          <w:sz w:val="22"/>
          <w:szCs w:val="22"/>
        </w:rPr>
      </w:pPr>
      <w:r>
        <w:rPr>
          <w:rFonts w:ascii="FangSong_GB2312" w:hAnsi="FangSong_GB2312" w:eastAsia="FangSong_GB2312" w:cs="FangSong_GB2312"/>
          <w:b/>
          <w:bCs/>
          <w:spacing w:val="-5"/>
          <w:sz w:val="24"/>
          <w:szCs w:val="24"/>
        </w:rPr>
        <w:t>3.维护保养费用</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2"/>
          <w:szCs w:val="22"/>
        </w:rPr>
        <w:t>单位：人民币</w:t>
      </w:r>
      <w:r>
        <w:rPr>
          <w:rFonts w:ascii="FangSong_GB2312" w:hAnsi="FangSong_GB2312" w:eastAsia="FangSong_GB2312" w:cs="FangSong_GB2312"/>
          <w:spacing w:val="-6"/>
          <w:sz w:val="22"/>
          <w:szCs w:val="22"/>
        </w:rPr>
        <w:t>(元)</w:t>
      </w:r>
    </w:p>
    <w:tbl>
      <w:tblPr>
        <w:tblStyle w:val="8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749"/>
        <w:gridCol w:w="1111"/>
        <w:gridCol w:w="1254"/>
        <w:gridCol w:w="1494"/>
        <w:gridCol w:w="1704"/>
        <w:gridCol w:w="985"/>
        <w:gridCol w:w="1312"/>
      </w:tblGrid>
      <w:tr w14:paraId="595F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4" w:type="pct"/>
            <w:noWrap w:val="0"/>
            <w:vAlign w:val="center"/>
          </w:tcPr>
          <w:p w14:paraId="57936B89">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rPr>
              <w:t>序号</w:t>
            </w:r>
          </w:p>
        </w:tc>
        <w:tc>
          <w:tcPr>
            <w:tcW w:w="403" w:type="pct"/>
            <w:noWrap w:val="0"/>
            <w:vAlign w:val="center"/>
          </w:tcPr>
          <w:p w14:paraId="5D53F8E8">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rPr>
              <w:t>品牌</w:t>
            </w:r>
          </w:p>
        </w:tc>
        <w:tc>
          <w:tcPr>
            <w:tcW w:w="598" w:type="pct"/>
            <w:noWrap w:val="0"/>
            <w:vAlign w:val="center"/>
          </w:tcPr>
          <w:p w14:paraId="46C25E15">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rPr>
              <w:t>速度</w:t>
            </w:r>
          </w:p>
          <w:p w14:paraId="73881F96">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ascii="宋体" w:hAnsi="宋体" w:cs="宋体"/>
                <w:bCs/>
                <w:sz w:val="24"/>
                <w:szCs w:val="24"/>
              </w:rPr>
            </w:pPr>
            <w:r>
              <w:rPr>
                <w:rFonts w:hint="eastAsia" w:ascii="宋体" w:hAnsi="宋体" w:cs="宋体"/>
                <w:bCs/>
                <w:sz w:val="24"/>
                <w:szCs w:val="24"/>
              </w:rPr>
              <w:t>（m/s）</w:t>
            </w:r>
          </w:p>
        </w:tc>
        <w:tc>
          <w:tcPr>
            <w:tcW w:w="675" w:type="pct"/>
            <w:noWrap w:val="0"/>
            <w:vAlign w:val="center"/>
          </w:tcPr>
          <w:p w14:paraId="24A82E8B">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rPr>
              <w:t>层站</w:t>
            </w:r>
          </w:p>
          <w:p w14:paraId="49588123">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ascii="宋体" w:hAnsi="宋体" w:cs="宋体"/>
                <w:bCs/>
                <w:sz w:val="24"/>
                <w:szCs w:val="24"/>
              </w:rPr>
            </w:pPr>
            <w:r>
              <w:rPr>
                <w:rFonts w:hint="eastAsia" w:ascii="宋体" w:hAnsi="宋体" w:cs="宋体"/>
                <w:bCs/>
                <w:sz w:val="24"/>
                <w:szCs w:val="24"/>
              </w:rPr>
              <w:t>（站/门）</w:t>
            </w:r>
          </w:p>
        </w:tc>
        <w:tc>
          <w:tcPr>
            <w:tcW w:w="804" w:type="pct"/>
            <w:noWrap w:val="0"/>
            <w:vAlign w:val="center"/>
          </w:tcPr>
          <w:p w14:paraId="34A25F0D">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额定重量</w:t>
            </w:r>
          </w:p>
          <w:p w14:paraId="1FBF2532">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KG</w:t>
            </w:r>
            <w:r>
              <w:rPr>
                <w:rFonts w:hint="eastAsia" w:ascii="宋体" w:hAnsi="宋体" w:cs="宋体"/>
                <w:bCs/>
                <w:sz w:val="24"/>
                <w:szCs w:val="24"/>
                <w:lang w:val="en-US" w:eastAsia="zh-CN"/>
              </w:rPr>
              <w:t>）</w:t>
            </w:r>
          </w:p>
        </w:tc>
        <w:tc>
          <w:tcPr>
            <w:tcW w:w="917" w:type="pct"/>
            <w:noWrap w:val="0"/>
            <w:vAlign w:val="center"/>
          </w:tcPr>
          <w:p w14:paraId="11077A6B">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lang w:val="en-US" w:eastAsia="zh-CN"/>
              </w:rPr>
              <w:t>单</w:t>
            </w:r>
            <w:r>
              <w:rPr>
                <w:rFonts w:hint="eastAsia" w:ascii="宋体" w:hAnsi="宋体" w:cs="宋体"/>
                <w:bCs/>
                <w:sz w:val="24"/>
                <w:szCs w:val="24"/>
              </w:rPr>
              <w:t>价</w:t>
            </w:r>
          </w:p>
          <w:p w14:paraId="69F7C629">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年/</w:t>
            </w:r>
            <w:r>
              <w:rPr>
                <w:rFonts w:hint="eastAsia" w:ascii="宋体" w:hAnsi="宋体" w:cs="宋体"/>
                <w:bCs/>
                <w:sz w:val="24"/>
                <w:szCs w:val="24"/>
              </w:rPr>
              <w:t>元/台）</w:t>
            </w:r>
          </w:p>
        </w:tc>
        <w:tc>
          <w:tcPr>
            <w:tcW w:w="530" w:type="pct"/>
            <w:noWrap w:val="0"/>
            <w:vAlign w:val="center"/>
          </w:tcPr>
          <w:p w14:paraId="490F6991">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数量</w:t>
            </w:r>
          </w:p>
          <w:p w14:paraId="1840F024">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ascii="宋体" w:hAnsi="宋体" w:cs="宋体"/>
                <w:bCs/>
                <w:sz w:val="24"/>
                <w:szCs w:val="24"/>
              </w:rPr>
            </w:pPr>
            <w:r>
              <w:rPr>
                <w:rFonts w:hint="eastAsia" w:ascii="宋体" w:hAnsi="宋体" w:cs="宋体"/>
                <w:bCs/>
                <w:sz w:val="24"/>
                <w:szCs w:val="24"/>
              </w:rPr>
              <w:t>（台）</w:t>
            </w:r>
          </w:p>
        </w:tc>
        <w:tc>
          <w:tcPr>
            <w:tcW w:w="706" w:type="pct"/>
            <w:noWrap w:val="0"/>
            <w:vAlign w:val="center"/>
          </w:tcPr>
          <w:p w14:paraId="34CFE9A8">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r>
              <w:rPr>
                <w:rFonts w:hint="eastAsia" w:ascii="宋体" w:hAnsi="宋体" w:cs="宋体"/>
                <w:bCs/>
                <w:sz w:val="24"/>
                <w:szCs w:val="24"/>
              </w:rPr>
              <w:t>小计</w:t>
            </w:r>
          </w:p>
          <w:p w14:paraId="14966B6C">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ascii="宋体" w:hAnsi="宋体" w:cs="宋体"/>
                <w:bCs/>
                <w:sz w:val="24"/>
                <w:szCs w:val="24"/>
              </w:rPr>
            </w:pPr>
            <w:r>
              <w:rPr>
                <w:rFonts w:hint="eastAsia" w:ascii="宋体" w:hAnsi="宋体" w:cs="宋体"/>
                <w:bCs/>
                <w:sz w:val="24"/>
                <w:szCs w:val="24"/>
              </w:rPr>
              <w:t>（元）</w:t>
            </w:r>
          </w:p>
        </w:tc>
      </w:tr>
      <w:tr w14:paraId="392D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4" w:type="pct"/>
            <w:noWrap w:val="0"/>
            <w:vAlign w:val="center"/>
          </w:tcPr>
          <w:p w14:paraId="237FAEDF">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403" w:type="pct"/>
            <w:noWrap w:val="0"/>
            <w:vAlign w:val="center"/>
          </w:tcPr>
          <w:p w14:paraId="1472E48C">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598" w:type="pct"/>
            <w:noWrap w:val="0"/>
            <w:vAlign w:val="center"/>
          </w:tcPr>
          <w:p w14:paraId="655A6A0E">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675" w:type="pct"/>
            <w:noWrap w:val="0"/>
            <w:vAlign w:val="center"/>
          </w:tcPr>
          <w:p w14:paraId="36B8C49C">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804" w:type="pct"/>
            <w:noWrap w:val="0"/>
            <w:vAlign w:val="center"/>
          </w:tcPr>
          <w:p w14:paraId="06511300">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lang w:val="en-US" w:eastAsia="zh-CN"/>
              </w:rPr>
            </w:pPr>
          </w:p>
        </w:tc>
        <w:tc>
          <w:tcPr>
            <w:tcW w:w="917" w:type="pct"/>
            <w:noWrap w:val="0"/>
            <w:vAlign w:val="center"/>
          </w:tcPr>
          <w:p w14:paraId="41D82497">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530" w:type="pct"/>
            <w:noWrap w:val="0"/>
            <w:vAlign w:val="center"/>
          </w:tcPr>
          <w:p w14:paraId="77553335">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706" w:type="pct"/>
            <w:noWrap w:val="0"/>
            <w:vAlign w:val="center"/>
          </w:tcPr>
          <w:p w14:paraId="1BC8D626">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r>
      <w:tr w14:paraId="44B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4" w:type="pct"/>
            <w:noWrap w:val="0"/>
            <w:vAlign w:val="center"/>
          </w:tcPr>
          <w:p w14:paraId="3C8C18E5">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403" w:type="pct"/>
            <w:noWrap w:val="0"/>
            <w:vAlign w:val="center"/>
          </w:tcPr>
          <w:p w14:paraId="38A380E8">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598" w:type="pct"/>
            <w:noWrap w:val="0"/>
            <w:vAlign w:val="center"/>
          </w:tcPr>
          <w:p w14:paraId="7527FAF3">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675" w:type="pct"/>
            <w:noWrap w:val="0"/>
            <w:vAlign w:val="center"/>
          </w:tcPr>
          <w:p w14:paraId="359192D1">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804" w:type="pct"/>
            <w:noWrap w:val="0"/>
            <w:vAlign w:val="center"/>
          </w:tcPr>
          <w:p w14:paraId="39F19620">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lang w:val="en-US" w:eastAsia="zh-CN"/>
              </w:rPr>
            </w:pPr>
          </w:p>
        </w:tc>
        <w:tc>
          <w:tcPr>
            <w:tcW w:w="917" w:type="pct"/>
            <w:noWrap w:val="0"/>
            <w:vAlign w:val="center"/>
          </w:tcPr>
          <w:p w14:paraId="51AFF609">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530" w:type="pct"/>
            <w:noWrap w:val="0"/>
            <w:vAlign w:val="center"/>
          </w:tcPr>
          <w:p w14:paraId="172B341A">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c>
          <w:tcPr>
            <w:tcW w:w="706" w:type="pct"/>
            <w:noWrap w:val="0"/>
            <w:vAlign w:val="center"/>
          </w:tcPr>
          <w:p w14:paraId="677CFEA7">
            <w:pPr>
              <w:keepNext w:val="0"/>
              <w:keepLines w:val="0"/>
              <w:pageBreakBefore w:val="0"/>
              <w:widowControl w:val="0"/>
              <w:kinsoku/>
              <w:wordWrap/>
              <w:overflowPunct/>
              <w:topLinePunct w:val="0"/>
              <w:autoSpaceDE/>
              <w:autoSpaceDN/>
              <w:bidi w:val="0"/>
              <w:adjustRightInd/>
              <w:snapToGrid/>
              <w:spacing w:before="63" w:beforeLines="20" w:after="63" w:afterLines="20" w:line="280" w:lineRule="exact"/>
              <w:jc w:val="center"/>
              <w:textAlignment w:val="auto"/>
              <w:rPr>
                <w:rFonts w:hint="eastAsia" w:ascii="宋体" w:hAnsi="宋体" w:cs="宋体"/>
                <w:bCs/>
                <w:sz w:val="24"/>
                <w:szCs w:val="24"/>
              </w:rPr>
            </w:pPr>
          </w:p>
        </w:tc>
      </w:tr>
    </w:tbl>
    <w:p w14:paraId="2F4627C9">
      <w:pPr>
        <w:spacing w:before="115" w:line="214" w:lineRule="auto"/>
        <w:ind w:left="460"/>
        <w:rPr>
          <w:rFonts w:ascii="FangSong_GB2312" w:hAnsi="FangSong_GB2312" w:eastAsia="FangSong_GB2312" w:cs="FangSong_GB2312"/>
          <w:sz w:val="22"/>
          <w:szCs w:val="22"/>
        </w:rPr>
      </w:pPr>
      <w:r>
        <w:rPr>
          <w:rFonts w:ascii="FangSong_GB2312" w:hAnsi="FangSong_GB2312" w:eastAsia="FangSong_GB2312" w:cs="FangSong_GB2312"/>
          <w:b/>
          <w:bCs/>
          <w:spacing w:val="-3"/>
          <w:sz w:val="22"/>
          <w:szCs w:val="22"/>
        </w:rPr>
        <w:t>4.维护保养期限及合同总价</w:t>
      </w:r>
    </w:p>
    <w:p w14:paraId="6B42378D">
      <w:pPr>
        <w:spacing w:before="208" w:line="214" w:lineRule="auto"/>
        <w:ind w:left="460"/>
        <w:rPr>
          <w:rFonts w:ascii="FangSong_GB2312" w:hAnsi="FangSong_GB2312" w:eastAsia="FangSong_GB2312" w:cs="FangSong_GB2312"/>
          <w:sz w:val="22"/>
          <w:szCs w:val="22"/>
        </w:rPr>
      </w:pPr>
      <w:r>
        <w:rPr>
          <w:rFonts w:ascii="FangSong_GB2312" w:hAnsi="FangSong_GB2312" w:eastAsia="FangSong_GB2312" w:cs="FangSong_GB2312"/>
          <w:spacing w:val="-5"/>
          <w:sz w:val="22"/>
          <w:szCs w:val="22"/>
        </w:rPr>
        <w:t>4.1 维护保养期自</w:t>
      </w:r>
      <w:r>
        <w:rPr>
          <w:rFonts w:ascii="FangSong_GB2312" w:hAnsi="FangSong_GB2312" w:eastAsia="FangSong_GB2312" w:cs="FangSong_GB2312"/>
          <w:spacing w:val="-5"/>
          <w:sz w:val="22"/>
          <w:szCs w:val="22"/>
          <w:u w:val="single" w:color="auto"/>
        </w:rPr>
        <w:t xml:space="preserve"> </w:t>
      </w:r>
      <w:r>
        <w:rPr>
          <w:rFonts w:hint="eastAsia" w:ascii="FangSong_GB2312" w:hAnsi="FangSong_GB2312" w:eastAsia="FangSong_GB2312" w:cs="FangSong_GB2312"/>
          <w:spacing w:val="-5"/>
          <w:sz w:val="22"/>
          <w:szCs w:val="22"/>
          <w:u w:val="single" w:color="auto"/>
          <w:lang w:val="en-US" w:eastAsia="zh-CN"/>
        </w:rPr>
        <w:t xml:space="preserve">    </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5"/>
          <w:sz w:val="22"/>
          <w:szCs w:val="22"/>
        </w:rPr>
        <w:t>年</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90"/>
          <w:sz w:val="22"/>
          <w:szCs w:val="22"/>
        </w:rPr>
        <w:t xml:space="preserve"> </w:t>
      </w:r>
      <w:r>
        <w:rPr>
          <w:rFonts w:ascii="FangSong_GB2312" w:hAnsi="FangSong_GB2312" w:eastAsia="FangSong_GB2312" w:cs="FangSong_GB2312"/>
          <w:spacing w:val="-6"/>
          <w:sz w:val="22"/>
          <w:szCs w:val="22"/>
        </w:rPr>
        <w:t>月</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6"/>
          <w:sz w:val="22"/>
          <w:szCs w:val="22"/>
        </w:rPr>
        <w:t>日起至</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99"/>
          <w:sz w:val="22"/>
          <w:szCs w:val="22"/>
        </w:rPr>
        <w:t xml:space="preserve"> </w:t>
      </w:r>
      <w:r>
        <w:rPr>
          <w:rFonts w:ascii="FangSong_GB2312" w:hAnsi="FangSong_GB2312" w:eastAsia="FangSong_GB2312" w:cs="FangSong_GB2312"/>
          <w:spacing w:val="-6"/>
          <w:sz w:val="22"/>
          <w:szCs w:val="22"/>
        </w:rPr>
        <w:t>年</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89"/>
          <w:sz w:val="22"/>
          <w:szCs w:val="22"/>
        </w:rPr>
        <w:t xml:space="preserve"> </w:t>
      </w:r>
      <w:r>
        <w:rPr>
          <w:rFonts w:ascii="FangSong_GB2312" w:hAnsi="FangSong_GB2312" w:eastAsia="FangSong_GB2312" w:cs="FangSong_GB2312"/>
          <w:spacing w:val="-6"/>
          <w:sz w:val="22"/>
          <w:szCs w:val="22"/>
        </w:rPr>
        <w:t>月</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60"/>
          <w:sz w:val="22"/>
          <w:szCs w:val="22"/>
        </w:rPr>
        <w:t xml:space="preserve"> </w:t>
      </w:r>
      <w:r>
        <w:rPr>
          <w:rFonts w:ascii="FangSong_GB2312" w:hAnsi="FangSong_GB2312" w:eastAsia="FangSong_GB2312" w:cs="FangSong_GB2312"/>
          <w:spacing w:val="-6"/>
          <w:sz w:val="22"/>
          <w:szCs w:val="22"/>
        </w:rPr>
        <w:t>日止。</w:t>
      </w:r>
    </w:p>
    <w:p w14:paraId="348E3F86">
      <w:pPr>
        <w:spacing w:before="205" w:line="218" w:lineRule="auto"/>
        <w:ind w:left="460"/>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4.2 合同总价：</w:t>
      </w:r>
      <w:r>
        <w:rPr>
          <w:rFonts w:ascii="FangSong_GB2312" w:hAnsi="FangSong_GB2312" w:eastAsia="FangSong_GB2312" w:cs="FangSong_GB2312"/>
          <w:spacing w:val="13"/>
          <w:sz w:val="22"/>
          <w:szCs w:val="22"/>
          <w:u w:val="single" w:color="auto"/>
        </w:rPr>
        <w:t xml:space="preserve">      </w:t>
      </w:r>
      <w:r>
        <w:rPr>
          <w:rFonts w:ascii="FangSong_GB2312" w:hAnsi="FangSong_GB2312" w:eastAsia="FangSong_GB2312" w:cs="FangSong_GB2312"/>
          <w:spacing w:val="-89"/>
          <w:sz w:val="22"/>
          <w:szCs w:val="22"/>
        </w:rPr>
        <w:t xml:space="preserve"> </w:t>
      </w:r>
      <w:r>
        <w:rPr>
          <w:rFonts w:ascii="FangSong_GB2312" w:hAnsi="FangSong_GB2312" w:eastAsia="FangSong_GB2312" w:cs="FangSong_GB2312"/>
          <w:spacing w:val="-4"/>
          <w:sz w:val="22"/>
          <w:szCs w:val="22"/>
        </w:rPr>
        <w:t>元整(大写:</w:t>
      </w:r>
      <w:r>
        <w:rPr>
          <w:rFonts w:ascii="FangSong_GB2312" w:hAnsi="FangSong_GB2312" w:eastAsia="FangSong_GB2312" w:cs="FangSong_GB2312"/>
          <w:spacing w:val="1"/>
          <w:sz w:val="22"/>
          <w:szCs w:val="22"/>
          <w:u w:val="single" w:color="auto"/>
        </w:rPr>
        <w:t xml:space="preserve">           </w:t>
      </w:r>
      <w:r>
        <w:rPr>
          <w:rFonts w:ascii="FangSong_GB2312" w:hAnsi="FangSong_GB2312" w:eastAsia="FangSong_GB2312" w:cs="FangSong_GB2312"/>
          <w:spacing w:val="-4"/>
          <w:sz w:val="22"/>
          <w:szCs w:val="22"/>
          <w:u w:val="single" w:color="auto"/>
        </w:rPr>
        <w:t>元整</w:t>
      </w:r>
      <w:r>
        <w:rPr>
          <w:rFonts w:ascii="FangSong_GB2312" w:hAnsi="FangSong_GB2312" w:eastAsia="FangSong_GB2312" w:cs="FangSong_GB2312"/>
          <w:spacing w:val="-4"/>
          <w:sz w:val="22"/>
          <w:szCs w:val="22"/>
        </w:rPr>
        <w:t>)。</w:t>
      </w:r>
    </w:p>
    <w:p w14:paraId="2CB61235">
      <w:pPr>
        <w:spacing w:before="200" w:line="217" w:lineRule="auto"/>
        <w:ind w:left="463"/>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5.付款方式(单选)</w:t>
      </w:r>
    </w:p>
    <w:p w14:paraId="591CB5F3">
      <w:pPr>
        <w:spacing w:before="42" w:line="219" w:lineRule="auto"/>
        <w:ind w:left="909"/>
        <w:rPr>
          <w:rFonts w:ascii="FangSong_GB2312" w:hAnsi="FangSong_GB2312" w:eastAsia="FangSong_GB2312" w:cs="FangSong_GB2312"/>
          <w:sz w:val="22"/>
          <w:szCs w:val="22"/>
        </w:rPr>
      </w:pPr>
      <w:r>
        <w:rPr>
          <w:rFonts w:ascii="FangSong_GB2312" w:hAnsi="FangSong_GB2312" w:eastAsia="FangSong_GB2312" w:cs="FangSong_GB2312"/>
          <w:sz w:val="30"/>
          <w:szCs w:val="30"/>
        </w:rPr>
        <w:t>（</w:t>
      </w:r>
      <w:r>
        <w:rPr>
          <w:rFonts w:ascii="FangSong_GB2312" w:hAnsi="FangSong_GB2312" w:eastAsia="FangSong_GB2312" w:cs="FangSong_GB2312"/>
          <w:sz w:val="22"/>
          <w:szCs w:val="22"/>
        </w:rPr>
        <w:t>一）甲方按（月度、季度、半年度、年度）结算方式支付维护</w:t>
      </w:r>
      <w:r>
        <w:rPr>
          <w:rFonts w:ascii="FangSong_GB2312" w:hAnsi="FangSong_GB2312" w:eastAsia="FangSong_GB2312" w:cs="FangSong_GB2312"/>
          <w:spacing w:val="-1"/>
          <w:sz w:val="22"/>
          <w:szCs w:val="22"/>
        </w:rPr>
        <w:t>保养费（勾选</w:t>
      </w:r>
      <w:r>
        <w:rPr>
          <w:rFonts w:ascii="FangSong_GB2312" w:hAnsi="FangSong_GB2312" w:eastAsia="FangSong_GB2312" w:cs="FangSong_GB2312"/>
          <w:sz w:val="22"/>
          <w:szCs w:val="22"/>
        </w:rPr>
        <w:t>）：</w:t>
      </w:r>
    </w:p>
    <w:p w14:paraId="0FF866D0">
      <w:pPr>
        <w:spacing w:before="73" w:line="214" w:lineRule="auto"/>
        <w:ind w:left="958"/>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w:t>
      </w:r>
      <w:r>
        <w:rPr>
          <w:rFonts w:ascii="FangSong_GB2312" w:hAnsi="FangSong_GB2312" w:eastAsia="FangSong_GB2312" w:cs="FangSong_GB2312"/>
          <w:spacing w:val="22"/>
          <w:sz w:val="22"/>
          <w:szCs w:val="22"/>
        </w:rPr>
        <w:t xml:space="preserve"> </w:t>
      </w:r>
      <w:r>
        <w:rPr>
          <w:rFonts w:ascii="FangSong_GB2312" w:hAnsi="FangSong_GB2312" w:eastAsia="FangSong_GB2312" w:cs="FangSong_GB2312"/>
          <w:spacing w:val="-7"/>
          <w:sz w:val="22"/>
          <w:szCs w:val="22"/>
        </w:rPr>
        <w:t>1.按月度支付</w:t>
      </w:r>
    </w:p>
    <w:p w14:paraId="64CEC55E">
      <w:pPr>
        <w:spacing w:before="106" w:line="302" w:lineRule="auto"/>
        <w:ind w:left="496" w:right="86" w:firstLine="442"/>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具体时间为：合同签订后甲方支付一个月电梯维保费</w:t>
      </w:r>
      <w:r>
        <w:rPr>
          <w:rFonts w:ascii="FangSong_GB2312" w:hAnsi="FangSong_GB2312" w:eastAsia="FangSong_GB2312" w:cs="FangSong_GB2312"/>
          <w:spacing w:val="-2"/>
          <w:sz w:val="22"/>
          <w:szCs w:val="22"/>
        </w:rPr>
        <w:t>用，以后甲方于每月度期满前</w:t>
      </w:r>
      <w:r>
        <w:rPr>
          <w:rFonts w:ascii="FangSong_GB2312" w:hAnsi="FangSong_GB2312" w:eastAsia="FangSong_GB2312" w:cs="FangSong_GB2312"/>
          <w:spacing w:val="-29"/>
          <w:sz w:val="22"/>
          <w:szCs w:val="22"/>
        </w:rPr>
        <w:t xml:space="preserve"> </w:t>
      </w:r>
      <w:r>
        <w:rPr>
          <w:rFonts w:ascii="FangSong_GB2312" w:hAnsi="FangSong_GB2312" w:eastAsia="FangSong_GB2312" w:cs="FangSong_GB2312"/>
          <w:spacing w:val="-2"/>
          <w:sz w:val="22"/>
          <w:szCs w:val="22"/>
        </w:rPr>
        <w:t>3</w:t>
      </w:r>
      <w:r>
        <w:rPr>
          <w:rFonts w:ascii="FangSong_GB2312" w:hAnsi="FangSong_GB2312" w:eastAsia="FangSong_GB2312" w:cs="FangSong_GB2312"/>
          <w:spacing w:val="-40"/>
          <w:sz w:val="22"/>
          <w:szCs w:val="22"/>
        </w:rPr>
        <w:t xml:space="preserve"> </w:t>
      </w:r>
      <w:r>
        <w:rPr>
          <w:rFonts w:ascii="FangSong_GB2312" w:hAnsi="FangSong_GB2312" w:eastAsia="FangSong_GB2312" w:cs="FangSong_GB2312"/>
          <w:spacing w:val="-2"/>
          <w:sz w:val="22"/>
          <w:szCs w:val="22"/>
        </w:rPr>
        <w:t>天向乙</w:t>
      </w:r>
      <w:r>
        <w:rPr>
          <w:rFonts w:ascii="FangSong_GB2312" w:hAnsi="FangSong_GB2312" w:eastAsia="FangSong_GB2312" w:cs="FangSong_GB2312"/>
          <w:sz w:val="22"/>
          <w:szCs w:val="22"/>
        </w:rPr>
        <w:t xml:space="preserve"> 方支付下月维护保养费用（未按时支付下月维护保养费的视为自</w:t>
      </w:r>
      <w:r>
        <w:rPr>
          <w:rFonts w:ascii="FangSong_GB2312" w:hAnsi="FangSong_GB2312" w:eastAsia="FangSong_GB2312" w:cs="FangSong_GB2312"/>
          <w:spacing w:val="-1"/>
          <w:sz w:val="22"/>
          <w:szCs w:val="22"/>
        </w:rPr>
        <w:t>动解除合同，甲乙双方互不追究</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
          <w:sz w:val="22"/>
          <w:szCs w:val="22"/>
        </w:rPr>
        <w:t>任何责任，乙方不再继续对该项目电梯进行维保工作）。</w:t>
      </w:r>
    </w:p>
    <w:p w14:paraId="79B33E8C">
      <w:pPr>
        <w:spacing w:before="7" w:line="214" w:lineRule="auto"/>
        <w:ind w:left="958"/>
        <w:rPr>
          <w:rFonts w:ascii="FangSong_GB2312" w:hAnsi="FangSong_GB2312" w:eastAsia="FangSong_GB2312" w:cs="FangSong_GB2312"/>
          <w:sz w:val="22"/>
          <w:szCs w:val="22"/>
        </w:rPr>
      </w:pPr>
      <w:r>
        <w:rPr>
          <w:rFonts w:hint="eastAsia" w:ascii="FangSong_GB2312" w:hAnsi="FangSong_GB2312" w:eastAsia="FangSong_GB2312" w:cs="FangSong_GB2312"/>
          <w:spacing w:val="-7"/>
          <w:sz w:val="22"/>
          <w:szCs w:val="22"/>
          <w:lang w:eastAsia="zh-CN"/>
        </w:rPr>
        <w:t>☑</w:t>
      </w:r>
      <w:r>
        <w:rPr>
          <w:rFonts w:ascii="FangSong_GB2312" w:hAnsi="FangSong_GB2312" w:eastAsia="FangSong_GB2312" w:cs="FangSong_GB2312"/>
          <w:spacing w:val="21"/>
          <w:sz w:val="22"/>
          <w:szCs w:val="22"/>
        </w:rPr>
        <w:t xml:space="preserve"> </w:t>
      </w:r>
      <w:r>
        <w:rPr>
          <w:rFonts w:ascii="FangSong_GB2312" w:hAnsi="FangSong_GB2312" w:eastAsia="FangSong_GB2312" w:cs="FangSong_GB2312"/>
          <w:spacing w:val="-7"/>
          <w:sz w:val="22"/>
          <w:szCs w:val="22"/>
        </w:rPr>
        <w:t>2.按季度支付</w:t>
      </w:r>
    </w:p>
    <w:p w14:paraId="0E2AF827">
      <w:pPr>
        <w:spacing w:before="106" w:line="302" w:lineRule="auto"/>
        <w:ind w:left="492" w:firstLine="446"/>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具体时间为：合同签订生效后</w:t>
      </w:r>
      <w:r>
        <w:rPr>
          <w:rFonts w:ascii="FangSong_GB2312" w:hAnsi="FangSong_GB2312" w:eastAsia="FangSong_GB2312" w:cs="FangSong_GB2312"/>
          <w:spacing w:val="-36"/>
          <w:sz w:val="22"/>
          <w:szCs w:val="22"/>
        </w:rPr>
        <w:t xml:space="preserve"> </w:t>
      </w:r>
      <w:r>
        <w:rPr>
          <w:rFonts w:ascii="FangSong_GB2312" w:hAnsi="FangSong_GB2312" w:eastAsia="FangSong_GB2312" w:cs="FangSong_GB2312"/>
          <w:spacing w:val="-2"/>
          <w:sz w:val="22"/>
          <w:szCs w:val="22"/>
        </w:rPr>
        <w:t>7 日内甲方向乙方支付一季度电梯维保费用，以</w:t>
      </w:r>
      <w:r>
        <w:rPr>
          <w:rFonts w:ascii="FangSong_GB2312" w:hAnsi="FangSong_GB2312" w:eastAsia="FangSong_GB2312" w:cs="FangSong_GB2312"/>
          <w:spacing w:val="-3"/>
          <w:sz w:val="22"/>
          <w:szCs w:val="22"/>
        </w:rPr>
        <w:t>后甲方于每季</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4"/>
          <w:sz w:val="22"/>
          <w:szCs w:val="22"/>
        </w:rPr>
        <w:t>度期满前</w:t>
      </w:r>
      <w:r>
        <w:rPr>
          <w:rFonts w:ascii="FangSong_GB2312" w:hAnsi="FangSong_GB2312" w:eastAsia="FangSong_GB2312" w:cs="FangSong_GB2312"/>
          <w:spacing w:val="-36"/>
          <w:sz w:val="22"/>
          <w:szCs w:val="22"/>
        </w:rPr>
        <w:t xml:space="preserve"> </w:t>
      </w:r>
      <w:r>
        <w:rPr>
          <w:rFonts w:ascii="FangSong_GB2312" w:hAnsi="FangSong_GB2312" w:eastAsia="FangSong_GB2312" w:cs="FangSong_GB2312"/>
          <w:spacing w:val="-4"/>
          <w:sz w:val="22"/>
          <w:szCs w:val="22"/>
        </w:rPr>
        <w:t>8</w:t>
      </w:r>
      <w:r>
        <w:rPr>
          <w:rFonts w:ascii="FangSong_GB2312" w:hAnsi="FangSong_GB2312" w:eastAsia="FangSong_GB2312" w:cs="FangSong_GB2312"/>
          <w:spacing w:val="-43"/>
          <w:sz w:val="22"/>
          <w:szCs w:val="22"/>
        </w:rPr>
        <w:t xml:space="preserve"> </w:t>
      </w:r>
      <w:r>
        <w:rPr>
          <w:rFonts w:ascii="FangSong_GB2312" w:hAnsi="FangSong_GB2312" w:eastAsia="FangSong_GB2312" w:cs="FangSong_GB2312"/>
          <w:spacing w:val="-4"/>
          <w:sz w:val="22"/>
          <w:szCs w:val="22"/>
        </w:rPr>
        <w:t>天向乙方支付下季度维护保养费（未按时支付下季度维护保养费的视为自动解除合</w:t>
      </w:r>
      <w:r>
        <w:rPr>
          <w:rFonts w:ascii="FangSong_GB2312" w:hAnsi="FangSong_GB2312" w:eastAsia="FangSong_GB2312" w:cs="FangSong_GB2312"/>
          <w:spacing w:val="-5"/>
          <w:sz w:val="22"/>
          <w:szCs w:val="22"/>
        </w:rPr>
        <w:t>同，</w:t>
      </w:r>
      <w:r>
        <w:rPr>
          <w:rFonts w:ascii="FangSong_GB2312" w:hAnsi="FangSong_GB2312" w:eastAsia="FangSong_GB2312" w:cs="FangSong_GB2312"/>
          <w:sz w:val="22"/>
          <w:szCs w:val="22"/>
        </w:rPr>
        <w:t xml:space="preserve"> 甲乙双方互不追究任何责任，该季度期满后我公司不再继续对该项目</w:t>
      </w:r>
      <w:r>
        <w:rPr>
          <w:rFonts w:ascii="FangSong_GB2312" w:hAnsi="FangSong_GB2312" w:eastAsia="FangSong_GB2312" w:cs="FangSong_GB2312"/>
          <w:spacing w:val="-1"/>
          <w:sz w:val="22"/>
          <w:szCs w:val="22"/>
        </w:rPr>
        <w:t>电梯进行维保工作）。</w:t>
      </w:r>
    </w:p>
    <w:p w14:paraId="33EBED37">
      <w:pPr>
        <w:spacing w:before="4" w:line="214" w:lineRule="auto"/>
        <w:ind w:left="958"/>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w:t>
      </w:r>
      <w:r>
        <w:rPr>
          <w:rFonts w:ascii="FangSong_GB2312" w:hAnsi="FangSong_GB2312" w:eastAsia="FangSong_GB2312" w:cs="FangSong_GB2312"/>
          <w:spacing w:val="28"/>
          <w:sz w:val="22"/>
          <w:szCs w:val="22"/>
        </w:rPr>
        <w:t xml:space="preserve"> </w:t>
      </w:r>
      <w:r>
        <w:rPr>
          <w:rFonts w:ascii="FangSong_GB2312" w:hAnsi="FangSong_GB2312" w:eastAsia="FangSong_GB2312" w:cs="FangSong_GB2312"/>
          <w:spacing w:val="-7"/>
          <w:sz w:val="22"/>
          <w:szCs w:val="22"/>
        </w:rPr>
        <w:t>3.按半年度支付</w:t>
      </w:r>
    </w:p>
    <w:p w14:paraId="705927AC">
      <w:pPr>
        <w:spacing w:before="106" w:line="302" w:lineRule="auto"/>
        <w:ind w:left="499" w:right="86" w:firstLine="440"/>
        <w:rPr>
          <w:rFonts w:ascii="FangSong_GB2312" w:hAnsi="FangSong_GB2312" w:eastAsia="FangSong_GB2312" w:cs="FangSong_GB2312"/>
          <w:sz w:val="22"/>
          <w:szCs w:val="22"/>
        </w:rPr>
      </w:pPr>
      <w:r>
        <w:rPr>
          <w:rFonts w:ascii="FangSong_GB2312" w:hAnsi="FangSong_GB2312" w:eastAsia="FangSong_GB2312" w:cs="FangSong_GB2312"/>
          <w:sz w:val="22"/>
          <w:szCs w:val="22"/>
        </w:rPr>
        <w:t>具体时间为：合同签订后一个月内甲方支付半年度电梯</w:t>
      </w:r>
      <w:r>
        <w:rPr>
          <w:rFonts w:ascii="FangSong_GB2312" w:hAnsi="FangSong_GB2312" w:eastAsia="FangSong_GB2312" w:cs="FangSong_GB2312"/>
          <w:spacing w:val="-1"/>
          <w:sz w:val="22"/>
          <w:szCs w:val="22"/>
        </w:rPr>
        <w:t>维保费用，以后甲方于每半年度期满</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
          <w:sz w:val="22"/>
          <w:szCs w:val="22"/>
        </w:rPr>
        <w:t>前</w:t>
      </w:r>
      <w:r>
        <w:rPr>
          <w:rFonts w:ascii="FangSong_GB2312" w:hAnsi="FangSong_GB2312" w:eastAsia="FangSong_GB2312" w:cs="FangSong_GB2312"/>
          <w:spacing w:val="-36"/>
          <w:sz w:val="22"/>
          <w:szCs w:val="22"/>
        </w:rPr>
        <w:t xml:space="preserve"> </w:t>
      </w:r>
      <w:r>
        <w:rPr>
          <w:rFonts w:ascii="FangSong_GB2312" w:hAnsi="FangSong_GB2312" w:eastAsia="FangSong_GB2312" w:cs="FangSong_GB2312"/>
          <w:spacing w:val="-1"/>
          <w:sz w:val="22"/>
          <w:szCs w:val="22"/>
        </w:rPr>
        <w:t>8</w:t>
      </w:r>
      <w:r>
        <w:rPr>
          <w:rFonts w:ascii="FangSong_GB2312" w:hAnsi="FangSong_GB2312" w:eastAsia="FangSong_GB2312" w:cs="FangSong_GB2312"/>
          <w:spacing w:val="-43"/>
          <w:sz w:val="22"/>
          <w:szCs w:val="22"/>
        </w:rPr>
        <w:t xml:space="preserve"> </w:t>
      </w:r>
      <w:r>
        <w:rPr>
          <w:rFonts w:ascii="FangSong_GB2312" w:hAnsi="FangSong_GB2312" w:eastAsia="FangSong_GB2312" w:cs="FangSong_GB2312"/>
          <w:spacing w:val="-1"/>
          <w:sz w:val="22"/>
          <w:szCs w:val="22"/>
        </w:rPr>
        <w:t>天向乙方支付下半年度维护保养费（未按时支付下半年度维护保养费的视为自动</w:t>
      </w:r>
      <w:r>
        <w:rPr>
          <w:rFonts w:ascii="FangSong_GB2312" w:hAnsi="FangSong_GB2312" w:eastAsia="FangSong_GB2312" w:cs="FangSong_GB2312"/>
          <w:spacing w:val="-2"/>
          <w:sz w:val="22"/>
          <w:szCs w:val="22"/>
        </w:rPr>
        <w:t>解除合同，</w:t>
      </w:r>
      <w:r>
        <w:rPr>
          <w:rFonts w:ascii="FangSong_GB2312" w:hAnsi="FangSong_GB2312" w:eastAsia="FangSong_GB2312" w:cs="FangSong_GB2312"/>
          <w:sz w:val="22"/>
          <w:szCs w:val="22"/>
        </w:rPr>
        <w:t xml:space="preserve"> 甲乙双方互不追究任何责任，该半年度期满后我公司不再</w:t>
      </w:r>
      <w:r>
        <w:rPr>
          <w:rFonts w:ascii="FangSong_GB2312" w:hAnsi="FangSong_GB2312" w:eastAsia="FangSong_GB2312" w:cs="FangSong_GB2312"/>
          <w:spacing w:val="-1"/>
          <w:sz w:val="22"/>
          <w:szCs w:val="22"/>
        </w:rPr>
        <w:t>继续对该项目电梯进行维保工作）。</w:t>
      </w:r>
    </w:p>
    <w:p w14:paraId="5B2674EF">
      <w:pPr>
        <w:spacing w:before="6" w:line="214" w:lineRule="auto"/>
        <w:ind w:left="958"/>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w:t>
      </w:r>
      <w:r>
        <w:rPr>
          <w:rFonts w:ascii="FangSong_GB2312" w:hAnsi="FangSong_GB2312" w:eastAsia="FangSong_GB2312" w:cs="FangSong_GB2312"/>
          <w:spacing w:val="21"/>
          <w:sz w:val="22"/>
          <w:szCs w:val="22"/>
        </w:rPr>
        <w:t xml:space="preserve"> </w:t>
      </w:r>
      <w:r>
        <w:rPr>
          <w:rFonts w:ascii="FangSong_GB2312" w:hAnsi="FangSong_GB2312" w:eastAsia="FangSong_GB2312" w:cs="FangSong_GB2312"/>
          <w:spacing w:val="-7"/>
          <w:sz w:val="22"/>
          <w:szCs w:val="22"/>
        </w:rPr>
        <w:t>4.按年度支付</w:t>
      </w:r>
    </w:p>
    <w:p w14:paraId="58DA1DCF">
      <w:pPr>
        <w:spacing w:before="106" w:line="303" w:lineRule="auto"/>
        <w:ind w:left="492" w:right="83" w:firstLine="446"/>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具体时间为：合同签订生效后</w:t>
      </w:r>
      <w:r>
        <w:rPr>
          <w:rFonts w:ascii="FangSong_GB2312" w:hAnsi="FangSong_GB2312" w:eastAsia="FangSong_GB2312" w:cs="FangSong_GB2312"/>
          <w:spacing w:val="-36"/>
          <w:sz w:val="22"/>
          <w:szCs w:val="22"/>
        </w:rPr>
        <w:t xml:space="preserve"> </w:t>
      </w:r>
      <w:r>
        <w:rPr>
          <w:rFonts w:ascii="FangSong_GB2312" w:hAnsi="FangSong_GB2312" w:eastAsia="FangSong_GB2312" w:cs="FangSong_GB2312"/>
          <w:spacing w:val="-2"/>
          <w:sz w:val="22"/>
          <w:szCs w:val="22"/>
        </w:rPr>
        <w:t>8 日内甲方向乙方支付全年度电梯维保费用（未</w:t>
      </w:r>
      <w:r>
        <w:rPr>
          <w:rFonts w:ascii="FangSong_GB2312" w:hAnsi="FangSong_GB2312" w:eastAsia="FangSong_GB2312" w:cs="FangSong_GB2312"/>
          <w:spacing w:val="-3"/>
          <w:sz w:val="22"/>
          <w:szCs w:val="22"/>
        </w:rPr>
        <w:t>按时支付全年</w:t>
      </w:r>
      <w:r>
        <w:rPr>
          <w:rFonts w:ascii="FangSong_GB2312" w:hAnsi="FangSong_GB2312" w:eastAsia="FangSong_GB2312" w:cs="FangSong_GB2312"/>
          <w:sz w:val="22"/>
          <w:szCs w:val="22"/>
        </w:rPr>
        <w:t xml:space="preserve"> 度维护保养费的视为自动解除合同，甲乙双方互不追究任何责任，我公司不</w:t>
      </w:r>
      <w:r>
        <w:rPr>
          <w:rFonts w:ascii="FangSong_GB2312" w:hAnsi="FangSong_GB2312" w:eastAsia="FangSong_GB2312" w:cs="FangSong_GB2312"/>
          <w:spacing w:val="-1"/>
          <w:sz w:val="22"/>
          <w:szCs w:val="22"/>
        </w:rPr>
        <w:t>再继续对该项目电梯</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
          <w:sz w:val="22"/>
          <w:szCs w:val="22"/>
        </w:rPr>
        <w:t>进行维保工作）。</w:t>
      </w:r>
    </w:p>
    <w:p w14:paraId="2AA06544">
      <w:pPr>
        <w:spacing w:before="2" w:line="214" w:lineRule="auto"/>
        <w:ind w:left="924"/>
        <w:rPr>
          <w:rFonts w:ascii="FangSong_GB2312" w:hAnsi="FangSong_GB2312" w:eastAsia="FangSong_GB2312" w:cs="FangSong_GB2312"/>
          <w:sz w:val="22"/>
          <w:szCs w:val="22"/>
        </w:rPr>
      </w:pPr>
      <w:r>
        <w:rPr>
          <w:rFonts w:ascii="FangSong_GB2312" w:hAnsi="FangSong_GB2312" w:eastAsia="FangSong_GB2312" w:cs="FangSong_GB2312"/>
          <w:sz w:val="22"/>
          <w:szCs w:val="22"/>
        </w:rPr>
        <w:t>（二）发票（勾选</w:t>
      </w:r>
      <w:r>
        <w:rPr>
          <w:rFonts w:ascii="FangSong_GB2312" w:hAnsi="FangSong_GB2312" w:eastAsia="FangSong_GB2312" w:cs="FangSong_GB2312"/>
          <w:spacing w:val="-1"/>
          <w:sz w:val="22"/>
          <w:szCs w:val="22"/>
        </w:rPr>
        <w:t>）：</w:t>
      </w:r>
    </w:p>
    <w:p w14:paraId="3E381492">
      <w:pPr>
        <w:spacing w:before="107" w:line="214" w:lineRule="auto"/>
        <w:ind w:left="958"/>
        <w:rPr>
          <w:rFonts w:ascii="FangSong_GB2312" w:hAnsi="FangSong_GB2312" w:eastAsia="FangSong_GB2312" w:cs="FangSong_GB2312"/>
          <w:sz w:val="22"/>
          <w:szCs w:val="22"/>
        </w:rPr>
      </w:pPr>
      <w:r>
        <w:rPr>
          <w:rFonts w:ascii="FangSong_GB2312" w:hAnsi="FangSong_GB2312" w:eastAsia="FangSong_GB2312" w:cs="FangSong_GB2312"/>
          <w:spacing w:val="-5"/>
          <w:sz w:val="22"/>
          <w:szCs w:val="22"/>
        </w:rPr>
        <w:t>□增值税普通发票</w:t>
      </w:r>
      <w:r>
        <w:rPr>
          <w:rFonts w:ascii="FangSong_GB2312" w:hAnsi="FangSong_GB2312" w:eastAsia="FangSong_GB2312" w:cs="FangSong_GB2312"/>
          <w:spacing w:val="15"/>
          <w:sz w:val="22"/>
          <w:szCs w:val="22"/>
        </w:rPr>
        <w:t xml:space="preserve">   </w:t>
      </w:r>
      <w:r>
        <w:rPr>
          <w:rFonts w:ascii="FangSong_GB2312" w:hAnsi="FangSong_GB2312" w:eastAsia="FangSong_GB2312" w:cs="FangSong_GB2312"/>
          <w:spacing w:val="-5"/>
          <w:sz w:val="22"/>
          <w:szCs w:val="22"/>
        </w:rPr>
        <w:t>□增值税专用发票</w:t>
      </w:r>
    </w:p>
    <w:p w14:paraId="66B90CEC">
      <w:pPr>
        <w:spacing w:before="110" w:line="214" w:lineRule="auto"/>
        <w:ind w:left="924"/>
        <w:rPr>
          <w:rFonts w:ascii="FangSong_GB2312" w:hAnsi="FangSong_GB2312" w:eastAsia="FangSong_GB2312" w:cs="FangSong_GB2312"/>
          <w:sz w:val="22"/>
          <w:szCs w:val="22"/>
        </w:rPr>
      </w:pPr>
      <w:r>
        <w:rPr>
          <w:rFonts w:ascii="FangSong_GB2312" w:hAnsi="FangSong_GB2312" w:eastAsia="FangSong_GB2312" w:cs="FangSong_GB2312"/>
          <w:sz w:val="22"/>
          <w:szCs w:val="22"/>
        </w:rPr>
        <w:t>（注：收到款项后三个工作日开具发票并寄送至甲方</w:t>
      </w:r>
      <w:r>
        <w:rPr>
          <w:rFonts w:ascii="FangSong_GB2312" w:hAnsi="FangSong_GB2312" w:eastAsia="FangSong_GB2312" w:cs="FangSong_GB2312"/>
          <w:spacing w:val="-1"/>
          <w:sz w:val="22"/>
          <w:szCs w:val="22"/>
        </w:rPr>
        <w:t>。）</w:t>
      </w:r>
    </w:p>
    <w:p w14:paraId="0AD717C3">
      <w:pPr>
        <w:spacing w:before="107" w:line="214" w:lineRule="auto"/>
        <w:ind w:left="886"/>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（三）收款与发票出具单位</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1"/>
          <w:sz w:val="22"/>
          <w:szCs w:val="22"/>
        </w:rPr>
        <w:t>。</w:t>
      </w:r>
    </w:p>
    <w:p w14:paraId="106F714E">
      <w:pPr>
        <w:pStyle w:val="30"/>
        <w:spacing w:before="122" w:line="214" w:lineRule="auto"/>
        <w:ind w:left="886"/>
        <w:rPr>
          <w:sz w:val="22"/>
          <w:szCs w:val="22"/>
        </w:rPr>
      </w:pPr>
      <w:r>
        <w:rPr>
          <w:rFonts w:ascii="FangSong_GB2312" w:hAnsi="FangSong_GB2312" w:eastAsia="FangSong_GB2312" w:cs="FangSong_GB2312"/>
          <w:sz w:val="22"/>
          <w:szCs w:val="22"/>
        </w:rPr>
        <w:t>（四）收款单位开户行：</w:t>
      </w:r>
      <w:r>
        <w:rPr>
          <w:rFonts w:ascii="FangSong_GB2312" w:hAnsi="FangSong_GB2312" w:eastAsia="FangSong_GB2312" w:cs="FangSong_GB2312"/>
          <w:sz w:val="22"/>
          <w:szCs w:val="22"/>
          <w:u w:val="single" w:color="auto"/>
        </w:rPr>
        <w:t xml:space="preserve">             </w:t>
      </w:r>
      <w:r>
        <w:rPr>
          <w:sz w:val="22"/>
          <w:szCs w:val="22"/>
        </w:rPr>
        <w:t>。</w:t>
      </w:r>
    </w:p>
    <w:p w14:paraId="535840DF">
      <w:pPr>
        <w:pStyle w:val="30"/>
        <w:spacing w:before="124" w:line="216" w:lineRule="auto"/>
        <w:ind w:left="886"/>
        <w:rPr>
          <w:sz w:val="22"/>
          <w:szCs w:val="22"/>
        </w:rPr>
      </w:pPr>
      <w:r>
        <w:rPr>
          <w:rFonts w:ascii="FangSong_GB2312" w:hAnsi="FangSong_GB2312" w:eastAsia="FangSong_GB2312" w:cs="FangSong_GB2312"/>
          <w:sz w:val="22"/>
          <w:szCs w:val="22"/>
        </w:rPr>
        <w:t>（五）开户账号：</w:t>
      </w:r>
      <w:r>
        <w:rPr>
          <w:rFonts w:ascii="FangSong_GB2312" w:hAnsi="FangSong_GB2312" w:eastAsia="FangSong_GB2312" w:cs="FangSong_GB2312"/>
          <w:sz w:val="22"/>
          <w:szCs w:val="22"/>
          <w:u w:val="single" w:color="auto"/>
        </w:rPr>
        <w:t xml:space="preserve">             </w:t>
      </w:r>
      <w:r>
        <w:rPr>
          <w:sz w:val="22"/>
          <w:szCs w:val="22"/>
        </w:rPr>
        <w:t>。</w:t>
      </w:r>
    </w:p>
    <w:p w14:paraId="32DAD700">
      <w:pPr>
        <w:keepNext w:val="0"/>
        <w:keepLines w:val="0"/>
        <w:pageBreakBefore w:val="0"/>
        <w:widowControl w:val="0"/>
        <w:kinsoku/>
        <w:wordWrap/>
        <w:overflowPunct/>
        <w:topLinePunct w:val="0"/>
        <w:autoSpaceDE/>
        <w:autoSpaceDN/>
        <w:bidi w:val="0"/>
        <w:adjustRightInd/>
        <w:spacing w:line="214" w:lineRule="auto"/>
        <w:ind w:left="0" w:firstLine="426"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6.零部件承担方式</w:t>
      </w:r>
    </w:p>
    <w:p w14:paraId="4E78280B">
      <w:pPr>
        <w:keepNext w:val="0"/>
        <w:keepLines w:val="0"/>
        <w:pageBreakBefore w:val="0"/>
        <w:widowControl w:val="0"/>
        <w:kinsoku/>
        <w:wordWrap/>
        <w:overflowPunct/>
        <w:topLinePunct w:val="0"/>
        <w:autoSpaceDE/>
        <w:autoSpaceDN/>
        <w:bidi w:val="0"/>
        <w:adjustRightInd/>
        <w:snapToGrid w:val="0"/>
        <w:spacing w:line="276" w:lineRule="auto"/>
        <w:ind w:left="0" w:firstLine="436" w:firstLineChars="200"/>
        <w:textAlignment w:val="auto"/>
        <w:rPr>
          <w:rFonts w:ascii="FangSong_GB2312" w:hAnsi="FangSong_GB2312" w:eastAsia="FangSong_GB2312" w:cs="FangSong_GB2312"/>
          <w:spacing w:val="-1"/>
          <w:sz w:val="22"/>
          <w:szCs w:val="22"/>
        </w:rPr>
      </w:pPr>
      <w:r>
        <w:rPr>
          <w:rFonts w:ascii="FangSong_GB2312" w:hAnsi="FangSong_GB2312" w:eastAsia="FangSong_GB2312" w:cs="FangSong_GB2312"/>
          <w:spacing w:val="-1"/>
          <w:sz w:val="22"/>
          <w:szCs w:val="22"/>
        </w:rPr>
        <w:t>6.1 维护保养期间，需更换的易损件，按以下方式处理：</w:t>
      </w:r>
    </w:p>
    <w:p w14:paraId="3B3AE9E6">
      <w:pPr>
        <w:keepNext w:val="0"/>
        <w:keepLines w:val="0"/>
        <w:pageBreakBefore w:val="0"/>
        <w:widowControl w:val="0"/>
        <w:kinsoku/>
        <w:wordWrap/>
        <w:overflowPunct/>
        <w:topLinePunct w:val="0"/>
        <w:autoSpaceDE/>
        <w:autoSpaceDN/>
        <w:bidi w:val="0"/>
        <w:adjustRightInd/>
        <w:spacing w:before="71" w:line="214" w:lineRule="auto"/>
        <w:ind w:left="19" w:firstLine="432"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乙方提供易损件（</w:t>
      </w:r>
      <w:r>
        <w:rPr>
          <w:rFonts w:hint="eastAsia" w:ascii="FangSong_GB2312" w:hAnsi="FangSong_GB2312" w:eastAsia="FangSong_GB2312" w:cs="FangSong_GB2312"/>
          <w:spacing w:val="-2"/>
          <w:sz w:val="22"/>
          <w:szCs w:val="22"/>
          <w:u w:val="single" w:color="auto"/>
          <w:lang w:val="en-US" w:eastAsia="zh-CN"/>
        </w:rPr>
        <w:t>300.00</w:t>
      </w:r>
      <w:r>
        <w:rPr>
          <w:rFonts w:ascii="FangSong_GB2312" w:hAnsi="FangSong_GB2312" w:eastAsia="FangSong_GB2312" w:cs="FangSong_GB2312"/>
          <w:spacing w:val="-2"/>
          <w:sz w:val="22"/>
          <w:szCs w:val="22"/>
        </w:rPr>
        <w:t>元以内）并负责更换。其它：</w:t>
      </w:r>
      <w:r>
        <w:rPr>
          <w:rFonts w:ascii="FangSong_GB2312" w:hAnsi="FangSong_GB2312" w:eastAsia="FangSong_GB2312" w:cs="FangSong_GB2312"/>
          <w:spacing w:val="-2"/>
          <w:sz w:val="22"/>
          <w:szCs w:val="22"/>
          <w:u w:val="single" w:color="auto"/>
        </w:rPr>
        <w:t xml:space="preserve">                 </w:t>
      </w:r>
      <w:r>
        <w:rPr>
          <w:rFonts w:ascii="FangSong_GB2312" w:hAnsi="FangSong_GB2312" w:eastAsia="FangSong_GB2312" w:cs="FangSong_GB2312"/>
          <w:spacing w:val="-2"/>
          <w:sz w:val="22"/>
          <w:szCs w:val="22"/>
        </w:rPr>
        <w:t>。</w:t>
      </w:r>
    </w:p>
    <w:p w14:paraId="122D8912">
      <w:pPr>
        <w:keepNext w:val="0"/>
        <w:keepLines w:val="0"/>
        <w:pageBreakBefore w:val="0"/>
        <w:widowControl w:val="0"/>
        <w:kinsoku/>
        <w:wordWrap/>
        <w:overflowPunct/>
        <w:topLinePunct w:val="0"/>
        <w:autoSpaceDE/>
        <w:autoSpaceDN/>
        <w:bidi w:val="0"/>
        <w:adjustRightInd/>
        <w:spacing w:before="206" w:line="266" w:lineRule="auto"/>
        <w:ind w:left="42" w:right="487" w:firstLine="408"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6.2 超出电梯维护保养以外的修理、重大修理、改造、装饰翻新或甲方要求乙方提供本合同</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约定以外的其它服务的，双方应以书面形式另行约定。</w:t>
      </w:r>
    </w:p>
    <w:p w14:paraId="4E59E47C">
      <w:pPr>
        <w:keepNext w:val="0"/>
        <w:keepLines w:val="0"/>
        <w:pageBreakBefore w:val="0"/>
        <w:widowControl w:val="0"/>
        <w:kinsoku/>
        <w:wordWrap/>
        <w:overflowPunct/>
        <w:topLinePunct w:val="0"/>
        <w:autoSpaceDE/>
        <w:autoSpaceDN/>
        <w:bidi w:val="0"/>
        <w:adjustRightInd/>
        <w:spacing w:before="126" w:line="267" w:lineRule="auto"/>
        <w:ind w:left="34" w:right="477" w:firstLine="424"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6.3</w:t>
      </w:r>
      <w:r>
        <w:rPr>
          <w:rFonts w:ascii="FangSong_GB2312" w:hAnsi="FangSong_GB2312" w:eastAsia="FangSong_GB2312" w:cs="FangSong_GB2312"/>
          <w:spacing w:val="41"/>
          <w:sz w:val="22"/>
          <w:szCs w:val="22"/>
        </w:rPr>
        <w:t xml:space="preserve"> </w:t>
      </w:r>
      <w:r>
        <w:rPr>
          <w:rFonts w:ascii="FangSong_GB2312" w:hAnsi="FangSong_GB2312" w:eastAsia="FangSong_GB2312" w:cs="FangSong_GB2312"/>
          <w:spacing w:val="-4"/>
          <w:sz w:val="22"/>
          <w:szCs w:val="22"/>
        </w:rPr>
        <w:t>乙方不承担因国家法规、标准、安全技术规范调整、使用不当、人为破坏和遇不可抗</w:t>
      </w:r>
      <w:r>
        <w:rPr>
          <w:rFonts w:ascii="FangSong_GB2312" w:hAnsi="FangSong_GB2312" w:eastAsia="FangSong_GB2312" w:cs="FangSong_GB2312"/>
          <w:sz w:val="22"/>
          <w:szCs w:val="22"/>
        </w:rPr>
        <w:t xml:space="preserve"> 力（如地震、雷击、火灾、浸水、电源故障等）等</w:t>
      </w:r>
      <w:r>
        <w:rPr>
          <w:rFonts w:ascii="FangSong_GB2312" w:hAnsi="FangSong_GB2312" w:eastAsia="FangSong_GB2312" w:cs="FangSong_GB2312"/>
          <w:spacing w:val="-1"/>
          <w:sz w:val="22"/>
          <w:szCs w:val="22"/>
        </w:rPr>
        <w:t>所产生的材料加装或更换相关费用。</w:t>
      </w:r>
    </w:p>
    <w:p w14:paraId="20E26A16">
      <w:pPr>
        <w:keepNext w:val="0"/>
        <w:keepLines w:val="0"/>
        <w:pageBreakBefore w:val="0"/>
        <w:widowControl w:val="0"/>
        <w:kinsoku/>
        <w:wordWrap/>
        <w:overflowPunct/>
        <w:topLinePunct w:val="0"/>
        <w:autoSpaceDE/>
        <w:autoSpaceDN/>
        <w:bidi w:val="0"/>
        <w:adjustRightInd/>
        <w:spacing w:before="205" w:line="214" w:lineRule="auto"/>
        <w:ind w:firstLine="422"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7.电梯检验</w:t>
      </w:r>
    </w:p>
    <w:p w14:paraId="549F2D6F">
      <w:pPr>
        <w:keepNext w:val="0"/>
        <w:keepLines w:val="0"/>
        <w:pageBreakBefore w:val="0"/>
        <w:widowControl w:val="0"/>
        <w:kinsoku/>
        <w:wordWrap/>
        <w:overflowPunct/>
        <w:topLinePunct w:val="0"/>
        <w:autoSpaceDE/>
        <w:autoSpaceDN/>
        <w:bidi w:val="0"/>
        <w:adjustRightInd/>
        <w:spacing w:before="205" w:line="318" w:lineRule="auto"/>
        <w:ind w:left="44" w:right="209" w:firstLine="436"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7.1</w:t>
      </w:r>
      <w:r>
        <w:rPr>
          <w:rFonts w:ascii="FangSong_GB2312" w:hAnsi="FangSong_GB2312" w:eastAsia="FangSong_GB2312" w:cs="FangSong_GB2312"/>
          <w:spacing w:val="-31"/>
          <w:sz w:val="22"/>
          <w:szCs w:val="22"/>
        </w:rPr>
        <w:t xml:space="preserve"> </w:t>
      </w:r>
      <w:r>
        <w:rPr>
          <w:rFonts w:ascii="FangSong_GB2312" w:hAnsi="FangSong_GB2312" w:eastAsia="FangSong_GB2312" w:cs="FangSong_GB2312"/>
          <w:spacing w:val="-1"/>
          <w:sz w:val="22"/>
          <w:szCs w:val="22"/>
        </w:rPr>
        <w:t>现行安全技术规范规定，电梯使用单位应在安全检验标志所标注的下次检验日期届满前</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
          <w:sz w:val="22"/>
          <w:szCs w:val="22"/>
        </w:rPr>
        <w:t>1 个月，向规定的检验机构申请定期检验。定期检验申报、取证等工作由：</w:t>
      </w:r>
    </w:p>
    <w:p w14:paraId="6C89F1E4">
      <w:pPr>
        <w:keepNext w:val="0"/>
        <w:keepLines w:val="0"/>
        <w:pageBreakBefore w:val="0"/>
        <w:widowControl w:val="0"/>
        <w:kinsoku/>
        <w:wordWrap/>
        <w:overflowPunct/>
        <w:topLinePunct w:val="0"/>
        <w:autoSpaceDE/>
        <w:autoSpaceDN/>
        <w:bidi w:val="0"/>
        <w:adjustRightInd/>
        <w:spacing w:before="85" w:line="214" w:lineRule="auto"/>
        <w:ind w:left="495" w:firstLine="424"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□使用单位自行负责。</w:t>
      </w:r>
    </w:p>
    <w:p w14:paraId="2C5C328E">
      <w:pPr>
        <w:keepNext w:val="0"/>
        <w:keepLines w:val="0"/>
        <w:pageBreakBefore w:val="0"/>
        <w:widowControl w:val="0"/>
        <w:kinsoku/>
        <w:wordWrap/>
        <w:overflowPunct/>
        <w:topLinePunct w:val="0"/>
        <w:autoSpaceDE/>
        <w:autoSpaceDN/>
        <w:bidi w:val="0"/>
        <w:adjustRightInd/>
        <w:spacing w:before="205" w:line="215" w:lineRule="auto"/>
        <w:ind w:left="478" w:firstLine="436" w:firstLineChars="200"/>
        <w:textAlignment w:val="auto"/>
        <w:rPr>
          <w:rFonts w:ascii="FangSong_GB2312" w:hAnsi="FangSong_GB2312" w:eastAsia="FangSong_GB2312" w:cs="FangSong_GB2312"/>
          <w:sz w:val="22"/>
          <w:szCs w:val="22"/>
        </w:rPr>
      </w:pPr>
      <w:r>
        <w:rPr>
          <w:rFonts w:ascii="MS UI Gothic" w:hAnsi="MS UI Gothic" w:eastAsia="MS UI Gothic" w:cs="MS UI Gothic"/>
          <w:spacing w:val="-1"/>
          <w:sz w:val="22"/>
          <w:szCs w:val="22"/>
        </w:rPr>
        <w:t>☑</w:t>
      </w:r>
      <w:r>
        <w:rPr>
          <w:rFonts w:ascii="FangSong_GB2312" w:hAnsi="FangSong_GB2312" w:eastAsia="FangSong_GB2312" w:cs="FangSong_GB2312"/>
          <w:spacing w:val="-1"/>
          <w:sz w:val="22"/>
          <w:szCs w:val="22"/>
        </w:rPr>
        <w:t>使用单位委托乙方代办，使用单位需出具委托书和提供符合规定的相关资料。</w:t>
      </w:r>
    </w:p>
    <w:p w14:paraId="1EA09B67">
      <w:pPr>
        <w:keepNext w:val="0"/>
        <w:keepLines w:val="0"/>
        <w:pageBreakBefore w:val="0"/>
        <w:widowControl w:val="0"/>
        <w:kinsoku/>
        <w:wordWrap/>
        <w:overflowPunct/>
        <w:topLinePunct w:val="0"/>
        <w:autoSpaceDE/>
        <w:autoSpaceDN/>
        <w:bidi w:val="0"/>
        <w:adjustRightInd/>
        <w:spacing w:before="208" w:line="214" w:lineRule="auto"/>
        <w:ind w:left="480" w:firstLine="420"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5"/>
          <w:sz w:val="22"/>
          <w:szCs w:val="22"/>
        </w:rPr>
        <w:t>7.2</w:t>
      </w:r>
      <w:r>
        <w:rPr>
          <w:rFonts w:ascii="FangSong_GB2312" w:hAnsi="FangSong_GB2312" w:eastAsia="FangSong_GB2312" w:cs="FangSong_GB2312"/>
          <w:spacing w:val="-17"/>
          <w:sz w:val="22"/>
          <w:szCs w:val="22"/>
        </w:rPr>
        <w:t xml:space="preserve"> </w:t>
      </w:r>
      <w:r>
        <w:rPr>
          <w:rFonts w:ascii="FangSong_GB2312" w:hAnsi="FangSong_GB2312" w:eastAsia="FangSong_GB2312" w:cs="FangSong_GB2312"/>
          <w:spacing w:val="-5"/>
          <w:sz w:val="22"/>
          <w:szCs w:val="22"/>
        </w:rPr>
        <w:t>电梯定期检验费由</w:t>
      </w:r>
    </w:p>
    <w:p w14:paraId="09867033">
      <w:pPr>
        <w:keepNext w:val="0"/>
        <w:keepLines w:val="0"/>
        <w:pageBreakBefore w:val="0"/>
        <w:widowControl w:val="0"/>
        <w:kinsoku/>
        <w:wordWrap/>
        <w:overflowPunct/>
        <w:topLinePunct w:val="0"/>
        <w:autoSpaceDE/>
        <w:autoSpaceDN/>
        <w:bidi w:val="0"/>
        <w:adjustRightInd/>
        <w:spacing w:before="205" w:line="217" w:lineRule="auto"/>
        <w:ind w:left="478" w:firstLine="428" w:firstLineChars="200"/>
        <w:textAlignment w:val="auto"/>
        <w:rPr>
          <w:rFonts w:ascii="FangSong_GB2312" w:hAnsi="FangSong_GB2312" w:eastAsia="FangSong_GB2312" w:cs="FangSong_GB2312"/>
          <w:sz w:val="22"/>
          <w:szCs w:val="22"/>
        </w:rPr>
      </w:pPr>
      <w:r>
        <w:rPr>
          <w:rFonts w:ascii="MS UI Gothic" w:hAnsi="MS UI Gothic" w:eastAsia="MS UI Gothic" w:cs="MS UI Gothic"/>
          <w:spacing w:val="-3"/>
          <w:sz w:val="22"/>
          <w:szCs w:val="22"/>
        </w:rPr>
        <w:t>☑</w:t>
      </w:r>
      <w:r>
        <w:rPr>
          <w:rFonts w:ascii="FangSong_GB2312" w:hAnsi="FangSong_GB2312" w:eastAsia="FangSong_GB2312" w:cs="FangSong_GB2312"/>
          <w:spacing w:val="-3"/>
          <w:sz w:val="22"/>
          <w:szCs w:val="22"/>
        </w:rPr>
        <w:t>甲方承担。</w:t>
      </w:r>
    </w:p>
    <w:p w14:paraId="5C1854DF">
      <w:pPr>
        <w:keepNext w:val="0"/>
        <w:keepLines w:val="0"/>
        <w:pageBreakBefore w:val="0"/>
        <w:widowControl w:val="0"/>
        <w:kinsoku/>
        <w:wordWrap/>
        <w:overflowPunct/>
        <w:topLinePunct w:val="0"/>
        <w:autoSpaceDE/>
        <w:autoSpaceDN/>
        <w:bidi w:val="0"/>
        <w:adjustRightInd/>
        <w:spacing w:before="204" w:line="217" w:lineRule="auto"/>
        <w:ind w:left="495" w:firstLine="416"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□乙方承担。</w:t>
      </w:r>
    </w:p>
    <w:p w14:paraId="267D094A">
      <w:pPr>
        <w:keepNext w:val="0"/>
        <w:keepLines w:val="0"/>
        <w:pageBreakBefore w:val="0"/>
        <w:widowControl w:val="0"/>
        <w:kinsoku/>
        <w:wordWrap/>
        <w:overflowPunct/>
        <w:topLinePunct w:val="0"/>
        <w:autoSpaceDE/>
        <w:autoSpaceDN/>
        <w:bidi w:val="0"/>
        <w:adjustRightInd/>
        <w:spacing w:before="203" w:line="214" w:lineRule="auto"/>
        <w:ind w:left="480" w:firstLine="432"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7.3</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2"/>
          <w:sz w:val="22"/>
          <w:szCs w:val="22"/>
        </w:rPr>
        <w:t>砝码租赁及运输搬运费用由</w:t>
      </w:r>
    </w:p>
    <w:p w14:paraId="7BC38FE8">
      <w:pPr>
        <w:keepNext w:val="0"/>
        <w:keepLines w:val="0"/>
        <w:pageBreakBefore w:val="0"/>
        <w:widowControl w:val="0"/>
        <w:kinsoku/>
        <w:wordWrap/>
        <w:overflowPunct/>
        <w:topLinePunct w:val="0"/>
        <w:autoSpaceDE/>
        <w:autoSpaceDN/>
        <w:bidi w:val="0"/>
        <w:adjustRightInd/>
        <w:spacing w:before="208" w:line="217" w:lineRule="auto"/>
        <w:ind w:left="478" w:firstLine="428" w:firstLineChars="200"/>
        <w:textAlignment w:val="auto"/>
        <w:rPr>
          <w:rFonts w:ascii="FangSong_GB2312" w:hAnsi="FangSong_GB2312" w:eastAsia="FangSong_GB2312" w:cs="FangSong_GB2312"/>
          <w:sz w:val="22"/>
          <w:szCs w:val="22"/>
        </w:rPr>
      </w:pPr>
      <w:r>
        <w:rPr>
          <w:rFonts w:ascii="MS UI Gothic" w:hAnsi="MS UI Gothic" w:eastAsia="MS UI Gothic" w:cs="MS UI Gothic"/>
          <w:spacing w:val="-3"/>
          <w:sz w:val="22"/>
          <w:szCs w:val="22"/>
        </w:rPr>
        <w:t>☑</w:t>
      </w:r>
      <w:r>
        <w:rPr>
          <w:rFonts w:ascii="FangSong_GB2312" w:hAnsi="FangSong_GB2312" w:eastAsia="FangSong_GB2312" w:cs="FangSong_GB2312"/>
          <w:spacing w:val="-3"/>
          <w:sz w:val="22"/>
          <w:szCs w:val="22"/>
        </w:rPr>
        <w:t>甲方承担。</w:t>
      </w:r>
    </w:p>
    <w:p w14:paraId="5045FFFE">
      <w:pPr>
        <w:keepNext w:val="0"/>
        <w:keepLines w:val="0"/>
        <w:pageBreakBefore w:val="0"/>
        <w:widowControl w:val="0"/>
        <w:kinsoku/>
        <w:wordWrap/>
        <w:overflowPunct/>
        <w:topLinePunct w:val="0"/>
        <w:autoSpaceDE/>
        <w:autoSpaceDN/>
        <w:bidi w:val="0"/>
        <w:adjustRightInd/>
        <w:spacing w:before="202" w:line="217" w:lineRule="auto"/>
        <w:ind w:left="495" w:firstLine="416"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□乙方承担。</w:t>
      </w:r>
    </w:p>
    <w:p w14:paraId="79D0FBF9">
      <w:pPr>
        <w:keepNext w:val="0"/>
        <w:keepLines w:val="0"/>
        <w:pageBreakBefore w:val="0"/>
        <w:widowControl w:val="0"/>
        <w:kinsoku/>
        <w:wordWrap/>
        <w:overflowPunct/>
        <w:topLinePunct w:val="0"/>
        <w:autoSpaceDE/>
        <w:autoSpaceDN/>
        <w:bidi w:val="0"/>
        <w:adjustRightInd/>
        <w:spacing w:before="205" w:line="214" w:lineRule="auto"/>
        <w:ind w:left="480" w:firstLine="428"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3"/>
          <w:sz w:val="22"/>
          <w:szCs w:val="22"/>
        </w:rPr>
        <w:t>7.4 因乙方原因造成复检产生的所有费用由乙方承担。</w:t>
      </w:r>
    </w:p>
    <w:p w14:paraId="08A80FA2">
      <w:pPr>
        <w:keepNext w:val="0"/>
        <w:keepLines w:val="0"/>
        <w:pageBreakBefore w:val="0"/>
        <w:widowControl w:val="0"/>
        <w:kinsoku/>
        <w:wordWrap/>
        <w:overflowPunct/>
        <w:topLinePunct w:val="0"/>
        <w:autoSpaceDE/>
        <w:autoSpaceDN/>
        <w:bidi w:val="0"/>
        <w:adjustRightInd/>
        <w:spacing w:before="205" w:line="214" w:lineRule="auto"/>
        <w:ind w:left="480" w:firstLine="432"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7.5 甲方聘请第三方对电梯进行检测、评估产</w:t>
      </w:r>
      <w:r>
        <w:rPr>
          <w:rFonts w:ascii="FangSong_GB2312" w:hAnsi="FangSong_GB2312" w:eastAsia="FangSong_GB2312" w:cs="FangSong_GB2312"/>
          <w:spacing w:val="-3"/>
          <w:sz w:val="22"/>
          <w:szCs w:val="22"/>
        </w:rPr>
        <w:t>生的费用由甲方承担。</w:t>
      </w:r>
    </w:p>
    <w:p w14:paraId="3D1761C3">
      <w:pPr>
        <w:keepNext w:val="0"/>
        <w:keepLines w:val="0"/>
        <w:pageBreakBefore w:val="0"/>
        <w:widowControl w:val="0"/>
        <w:kinsoku/>
        <w:wordWrap/>
        <w:overflowPunct/>
        <w:topLinePunct w:val="0"/>
        <w:autoSpaceDE/>
        <w:autoSpaceDN/>
        <w:bidi w:val="0"/>
        <w:adjustRightInd/>
        <w:spacing w:before="209" w:line="214" w:lineRule="auto"/>
        <w:ind w:firstLine="426"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8.维护保养服务等级要求</w:t>
      </w:r>
    </w:p>
    <w:p w14:paraId="6CB9775E">
      <w:pPr>
        <w:keepNext w:val="0"/>
        <w:keepLines w:val="0"/>
        <w:pageBreakBefore w:val="0"/>
        <w:widowControl w:val="0"/>
        <w:kinsoku/>
        <w:wordWrap/>
        <w:overflowPunct/>
        <w:topLinePunct w:val="0"/>
        <w:autoSpaceDE/>
        <w:autoSpaceDN/>
        <w:bidi w:val="0"/>
        <w:adjustRightInd/>
        <w:spacing w:before="205" w:line="215" w:lineRule="auto"/>
        <w:ind w:right="20" w:firstLine="424" w:firstLineChars="200"/>
        <w:jc w:val="right"/>
        <w:textAlignment w:val="auto"/>
        <w:rPr>
          <w:rFonts w:ascii="FangSong_GB2312" w:hAnsi="FangSong_GB2312" w:eastAsia="FangSong_GB2312" w:cs="FangSong_GB2312"/>
          <w:sz w:val="22"/>
          <w:szCs w:val="22"/>
        </w:rPr>
      </w:pPr>
      <w:r>
        <w:rPr>
          <w:rFonts w:ascii="MS UI Gothic" w:hAnsi="MS UI Gothic" w:eastAsia="MS UI Gothic" w:cs="MS UI Gothic"/>
          <w:spacing w:val="-4"/>
          <w:sz w:val="22"/>
          <w:szCs w:val="22"/>
        </w:rPr>
        <w:t>☑</w:t>
      </w:r>
      <w:r>
        <w:rPr>
          <w:rFonts w:ascii="FangSong_GB2312" w:hAnsi="FangSong_GB2312" w:eastAsia="FangSong_GB2312" w:cs="FangSong_GB2312"/>
          <w:spacing w:val="-4"/>
          <w:sz w:val="22"/>
          <w:szCs w:val="22"/>
        </w:rPr>
        <w:t>《成都市电梯维护保养服务规范》(T/CDEA</w:t>
      </w:r>
      <w:r>
        <w:rPr>
          <w:rFonts w:ascii="FangSong_GB2312" w:hAnsi="FangSong_GB2312" w:eastAsia="FangSong_GB2312" w:cs="FangSong_GB2312"/>
          <w:spacing w:val="-19"/>
          <w:sz w:val="22"/>
          <w:szCs w:val="22"/>
        </w:rPr>
        <w:t xml:space="preserve"> </w:t>
      </w:r>
      <w:r>
        <w:rPr>
          <w:rFonts w:ascii="FangSong_GB2312" w:hAnsi="FangSong_GB2312" w:eastAsia="FangSong_GB2312" w:cs="FangSong_GB2312"/>
          <w:spacing w:val="-4"/>
          <w:sz w:val="22"/>
          <w:szCs w:val="22"/>
        </w:rPr>
        <w:t>001-2020）附录 A</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4"/>
          <w:sz w:val="22"/>
          <w:szCs w:val="22"/>
        </w:rPr>
        <w:t>中表</w:t>
      </w:r>
      <w:r>
        <w:rPr>
          <w:rFonts w:ascii="FangSong_GB2312" w:hAnsi="FangSong_GB2312" w:eastAsia="FangSong_GB2312" w:cs="FangSong_GB2312"/>
          <w:spacing w:val="-48"/>
          <w:sz w:val="22"/>
          <w:szCs w:val="22"/>
        </w:rPr>
        <w:t xml:space="preserve"> </w:t>
      </w:r>
      <w:r>
        <w:rPr>
          <w:rFonts w:ascii="FangSong_GB2312" w:hAnsi="FangSong_GB2312" w:eastAsia="FangSong_GB2312" w:cs="FangSong_GB2312"/>
          <w:spacing w:val="-4"/>
          <w:sz w:val="22"/>
          <w:szCs w:val="22"/>
        </w:rPr>
        <w:t>A.1</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4"/>
          <w:sz w:val="22"/>
          <w:szCs w:val="22"/>
        </w:rPr>
        <w:t>的  壹 等级要求。</w:t>
      </w:r>
    </w:p>
    <w:p w14:paraId="76293F3C">
      <w:pPr>
        <w:keepNext w:val="0"/>
        <w:keepLines w:val="0"/>
        <w:pageBreakBefore w:val="0"/>
        <w:widowControl w:val="0"/>
        <w:kinsoku/>
        <w:wordWrap/>
        <w:overflowPunct/>
        <w:topLinePunct w:val="0"/>
        <w:autoSpaceDE/>
        <w:autoSpaceDN/>
        <w:bidi w:val="0"/>
        <w:adjustRightInd/>
        <w:spacing w:before="208" w:line="214" w:lineRule="auto"/>
        <w:ind w:firstLine="420" w:firstLineChars="200"/>
        <w:jc w:val="right"/>
        <w:textAlignment w:val="auto"/>
        <w:rPr>
          <w:rFonts w:ascii="FangSong_GB2312" w:hAnsi="FangSong_GB2312" w:eastAsia="FangSong_GB2312" w:cs="FangSong_GB2312"/>
          <w:sz w:val="22"/>
          <w:szCs w:val="22"/>
        </w:rPr>
      </w:pPr>
      <w:r>
        <w:rPr>
          <w:rFonts w:ascii="FangSong_GB2312" w:hAnsi="FangSong_GB2312" w:eastAsia="FangSong_GB2312" w:cs="FangSong_GB2312"/>
          <w:spacing w:val="-5"/>
          <w:sz w:val="22"/>
          <w:szCs w:val="22"/>
        </w:rPr>
        <w:t>□《成都市电梯维护保养服务规范》</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5"/>
          <w:sz w:val="22"/>
          <w:szCs w:val="22"/>
        </w:rPr>
        <w:t>(T/CDEA</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5"/>
          <w:sz w:val="22"/>
          <w:szCs w:val="22"/>
        </w:rPr>
        <w:t>001-2020）附录 A</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5"/>
          <w:sz w:val="22"/>
          <w:szCs w:val="22"/>
        </w:rPr>
        <w:t>中表</w:t>
      </w:r>
      <w:r>
        <w:rPr>
          <w:rFonts w:ascii="FangSong_GB2312" w:hAnsi="FangSong_GB2312" w:eastAsia="FangSong_GB2312" w:cs="FangSong_GB2312"/>
          <w:spacing w:val="-48"/>
          <w:sz w:val="22"/>
          <w:szCs w:val="22"/>
        </w:rPr>
        <w:t xml:space="preserve"> </w:t>
      </w:r>
      <w:r>
        <w:rPr>
          <w:rFonts w:ascii="FangSong_GB2312" w:hAnsi="FangSong_GB2312" w:eastAsia="FangSong_GB2312" w:cs="FangSong_GB2312"/>
          <w:spacing w:val="-6"/>
          <w:sz w:val="22"/>
          <w:szCs w:val="22"/>
        </w:rPr>
        <w:t>A.2</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6"/>
          <w:sz w:val="22"/>
          <w:szCs w:val="22"/>
        </w:rPr>
        <w:t>的</w:t>
      </w:r>
      <w:r>
        <w:rPr>
          <w:rFonts w:ascii="FangSong_GB2312" w:hAnsi="FangSong_GB2312" w:eastAsia="FangSong_GB2312" w:cs="FangSong_GB2312"/>
          <w:spacing w:val="13"/>
          <w:sz w:val="22"/>
          <w:szCs w:val="22"/>
        </w:rPr>
        <w:t xml:space="preserve">    </w:t>
      </w:r>
      <w:r>
        <w:rPr>
          <w:rFonts w:ascii="FangSong_GB2312" w:hAnsi="FangSong_GB2312" w:eastAsia="FangSong_GB2312" w:cs="FangSong_GB2312"/>
          <w:spacing w:val="-6"/>
          <w:sz w:val="22"/>
          <w:szCs w:val="22"/>
        </w:rPr>
        <w:t>等级要求。</w:t>
      </w:r>
    </w:p>
    <w:p w14:paraId="61B7C792">
      <w:pPr>
        <w:keepNext w:val="0"/>
        <w:keepLines w:val="0"/>
        <w:pageBreakBefore w:val="0"/>
        <w:widowControl w:val="0"/>
        <w:kinsoku/>
        <w:wordWrap/>
        <w:overflowPunct/>
        <w:topLinePunct w:val="0"/>
        <w:autoSpaceDE/>
        <w:autoSpaceDN/>
        <w:bidi w:val="0"/>
        <w:adjustRightInd/>
        <w:spacing w:before="206" w:line="214" w:lineRule="auto"/>
        <w:ind w:right="20" w:firstLine="428" w:firstLineChars="200"/>
        <w:jc w:val="right"/>
        <w:textAlignment w:val="auto"/>
        <w:rPr>
          <w:rFonts w:ascii="FangSong_GB2312" w:hAnsi="FangSong_GB2312" w:eastAsia="FangSong_GB2312" w:cs="FangSong_GB2312"/>
          <w:sz w:val="22"/>
          <w:szCs w:val="22"/>
        </w:rPr>
      </w:pPr>
      <w:r>
        <w:rPr>
          <w:rFonts w:ascii="FangSong_GB2312" w:hAnsi="FangSong_GB2312" w:eastAsia="FangSong_GB2312" w:cs="FangSong_GB2312"/>
          <w:spacing w:val="-3"/>
          <w:sz w:val="22"/>
          <w:szCs w:val="22"/>
        </w:rPr>
        <w:t>□《成都市电梯维护保养服务规范》</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3"/>
          <w:sz w:val="22"/>
          <w:szCs w:val="22"/>
        </w:rPr>
        <w:t>(T/CDE</w:t>
      </w:r>
      <w:r>
        <w:rPr>
          <w:rFonts w:ascii="FangSong_GB2312" w:hAnsi="FangSong_GB2312" w:eastAsia="FangSong_GB2312" w:cs="FangSong_GB2312"/>
          <w:spacing w:val="-4"/>
          <w:sz w:val="22"/>
          <w:szCs w:val="22"/>
        </w:rPr>
        <w:t>A 001-2020）附录 A</w:t>
      </w:r>
      <w:r>
        <w:rPr>
          <w:rFonts w:ascii="FangSong_GB2312" w:hAnsi="FangSong_GB2312" w:eastAsia="FangSong_GB2312" w:cs="FangSong_GB2312"/>
          <w:spacing w:val="35"/>
          <w:sz w:val="22"/>
          <w:szCs w:val="22"/>
        </w:rPr>
        <w:t xml:space="preserve"> </w:t>
      </w:r>
      <w:r>
        <w:rPr>
          <w:rFonts w:ascii="FangSong_GB2312" w:hAnsi="FangSong_GB2312" w:eastAsia="FangSong_GB2312" w:cs="FangSong_GB2312"/>
          <w:spacing w:val="-4"/>
          <w:sz w:val="22"/>
          <w:szCs w:val="22"/>
        </w:rPr>
        <w:t>中表</w:t>
      </w:r>
      <w:r>
        <w:rPr>
          <w:rFonts w:ascii="FangSong_GB2312" w:hAnsi="FangSong_GB2312" w:eastAsia="FangSong_GB2312" w:cs="FangSong_GB2312"/>
          <w:spacing w:val="-49"/>
          <w:sz w:val="22"/>
          <w:szCs w:val="22"/>
        </w:rPr>
        <w:t xml:space="preserve"> </w:t>
      </w:r>
      <w:r>
        <w:rPr>
          <w:rFonts w:ascii="FangSong_GB2312" w:hAnsi="FangSong_GB2312" w:eastAsia="FangSong_GB2312" w:cs="FangSong_GB2312"/>
          <w:spacing w:val="-4"/>
          <w:sz w:val="22"/>
          <w:szCs w:val="22"/>
        </w:rPr>
        <w:t>A.3</w:t>
      </w:r>
      <w:r>
        <w:rPr>
          <w:rFonts w:ascii="FangSong_GB2312" w:hAnsi="FangSong_GB2312" w:eastAsia="FangSong_GB2312" w:cs="FangSong_GB2312"/>
          <w:spacing w:val="26"/>
          <w:sz w:val="22"/>
          <w:szCs w:val="22"/>
        </w:rPr>
        <w:t xml:space="preserve"> </w:t>
      </w:r>
      <w:r>
        <w:rPr>
          <w:rFonts w:ascii="FangSong_GB2312" w:hAnsi="FangSong_GB2312" w:eastAsia="FangSong_GB2312" w:cs="FangSong_GB2312"/>
          <w:spacing w:val="-4"/>
          <w:sz w:val="22"/>
          <w:szCs w:val="22"/>
        </w:rPr>
        <w:t>的    等级要求。</w:t>
      </w:r>
    </w:p>
    <w:p w14:paraId="13957E97">
      <w:pPr>
        <w:keepNext w:val="0"/>
        <w:keepLines w:val="0"/>
        <w:pageBreakBefore w:val="0"/>
        <w:widowControl w:val="0"/>
        <w:kinsoku/>
        <w:wordWrap/>
        <w:overflowPunct/>
        <w:topLinePunct w:val="0"/>
        <w:autoSpaceDE/>
        <w:autoSpaceDN/>
        <w:bidi w:val="0"/>
        <w:adjustRightInd/>
        <w:spacing w:before="206" w:line="214" w:lineRule="auto"/>
        <w:ind w:firstLine="430"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b/>
          <w:bCs/>
          <w:spacing w:val="-3"/>
          <w:sz w:val="22"/>
          <w:szCs w:val="22"/>
        </w:rPr>
        <w:t>9.故障急修和困人救援的到达时限</w:t>
      </w:r>
    </w:p>
    <w:p w14:paraId="6798FC30">
      <w:pPr>
        <w:keepNext w:val="0"/>
        <w:keepLines w:val="0"/>
        <w:pageBreakBefore w:val="0"/>
        <w:widowControl w:val="0"/>
        <w:kinsoku/>
        <w:wordWrap/>
        <w:overflowPunct/>
        <w:topLinePunct w:val="0"/>
        <w:autoSpaceDE/>
        <w:autoSpaceDN/>
        <w:bidi w:val="0"/>
        <w:adjustRightInd/>
        <w:spacing w:before="209" w:line="318" w:lineRule="auto"/>
        <w:ind w:left="35" w:right="483" w:firstLine="408" w:firstLineChars="200"/>
        <w:jc w:val="both"/>
        <w:textAlignment w:val="auto"/>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乙方应设立 24 小时服务值班电话，保</w:t>
      </w:r>
      <w:r>
        <w:rPr>
          <w:rFonts w:ascii="FangSong_GB2312" w:hAnsi="FangSong_GB2312" w:eastAsia="FangSong_GB2312" w:cs="FangSong_GB2312"/>
          <w:spacing w:val="-9"/>
          <w:sz w:val="22"/>
          <w:szCs w:val="22"/>
        </w:rPr>
        <w:t>证接到故障通知后及时予以排除；接到电梯困人故障</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报告后，维保人员及时抵达所维保电梯所在地实施现场救援，直辖市或者设区的市</w:t>
      </w:r>
      <w:r>
        <w:rPr>
          <w:rFonts w:ascii="FangSong_GB2312" w:hAnsi="FangSong_GB2312" w:eastAsia="FangSong_GB2312" w:cs="FangSong_GB2312"/>
          <w:spacing w:val="-9"/>
          <w:sz w:val="22"/>
          <w:szCs w:val="22"/>
        </w:rPr>
        <w:t>抵达时间不超</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过 30 分钟，其它区域一般不超过 1 小时。</w:t>
      </w:r>
    </w:p>
    <w:p w14:paraId="3F70A921">
      <w:pPr>
        <w:keepNext w:val="0"/>
        <w:keepLines w:val="0"/>
        <w:pageBreakBefore w:val="0"/>
        <w:widowControl w:val="0"/>
        <w:kinsoku/>
        <w:wordWrap/>
        <w:overflowPunct/>
        <w:topLinePunct w:val="0"/>
        <w:autoSpaceDE/>
        <w:autoSpaceDN/>
        <w:bidi w:val="0"/>
        <w:adjustRightInd/>
        <w:spacing w:before="1" w:line="213" w:lineRule="auto"/>
        <w:ind w:left="37" w:firstLine="468" w:firstLineChars="200"/>
        <w:textAlignment w:val="auto"/>
        <w:rPr>
          <w:rFonts w:ascii="FangSong_GB2312" w:hAnsi="FangSong_GB2312" w:eastAsia="FangSong_GB2312" w:cs="FangSong_GB2312"/>
          <w:sz w:val="22"/>
          <w:szCs w:val="22"/>
        </w:rPr>
      </w:pPr>
      <w:r>
        <w:rPr>
          <w:rFonts w:ascii="Times New Roman" w:hAnsi="Times New Roman" w:eastAsia="Times New Roman" w:cs="Times New Roman"/>
          <w:b/>
          <w:bCs/>
          <w:spacing w:val="-3"/>
          <w:sz w:val="24"/>
          <w:szCs w:val="24"/>
        </w:rPr>
        <w:t>1</w:t>
      </w:r>
      <w:r>
        <w:rPr>
          <w:rFonts w:ascii="FangSong_GB2312" w:hAnsi="FangSong_GB2312" w:eastAsia="FangSong_GB2312" w:cs="FangSong_GB2312"/>
          <w:b/>
          <w:bCs/>
          <w:spacing w:val="-3"/>
          <w:sz w:val="22"/>
          <w:szCs w:val="22"/>
        </w:rPr>
        <w:t>0.维保质量考核办法</w:t>
      </w:r>
    </w:p>
    <w:p w14:paraId="2818B071">
      <w:pPr>
        <w:keepNext w:val="0"/>
        <w:keepLines w:val="0"/>
        <w:pageBreakBefore w:val="0"/>
        <w:widowControl w:val="0"/>
        <w:kinsoku/>
        <w:wordWrap/>
        <w:overflowPunct/>
        <w:topLinePunct w:val="0"/>
        <w:autoSpaceDE/>
        <w:autoSpaceDN/>
        <w:bidi w:val="0"/>
        <w:adjustRightInd/>
        <w:spacing w:before="206" w:line="214" w:lineRule="auto"/>
        <w:ind w:left="456" w:firstLine="408"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按照国家标准、规范或本合同第 8 条约定的维护保养服务标准执行，甲、乙双方约定执行。</w:t>
      </w:r>
    </w:p>
    <w:p w14:paraId="4FA8FD66">
      <w:pPr>
        <w:keepNext w:val="0"/>
        <w:keepLines w:val="0"/>
        <w:pageBreakBefore w:val="0"/>
        <w:widowControl w:val="0"/>
        <w:kinsoku/>
        <w:wordWrap/>
        <w:overflowPunct/>
        <w:topLinePunct w:val="0"/>
        <w:autoSpaceDE/>
        <w:autoSpaceDN/>
        <w:bidi w:val="0"/>
        <w:adjustRightInd/>
        <w:spacing w:before="205" w:line="217" w:lineRule="auto"/>
        <w:ind w:left="3" w:firstLine="422" w:firstLineChars="200"/>
        <w:textAlignment w:val="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11.工作交接</w:t>
      </w:r>
    </w:p>
    <w:p w14:paraId="3388AD78">
      <w:pPr>
        <w:spacing w:before="71" w:line="216" w:lineRule="auto"/>
        <w:ind w:left="28"/>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11.1</w:t>
      </w:r>
      <w:r>
        <w:rPr>
          <w:rFonts w:ascii="FangSong_GB2312" w:hAnsi="FangSong_GB2312" w:eastAsia="FangSong_GB2312" w:cs="FangSong_GB2312"/>
          <w:spacing w:val="-18"/>
          <w:sz w:val="22"/>
          <w:szCs w:val="22"/>
        </w:rPr>
        <w:t xml:space="preserve"> </w:t>
      </w:r>
      <w:r>
        <w:rPr>
          <w:rFonts w:ascii="FangSong_GB2312" w:hAnsi="FangSong_GB2312" w:eastAsia="FangSong_GB2312" w:cs="FangSong_GB2312"/>
          <w:spacing w:val="-10"/>
          <w:sz w:val="22"/>
          <w:szCs w:val="22"/>
        </w:rPr>
        <w:t>乙方应在合同生效前对本项目电梯进行全面检查，检查结果须经双方代表签字确认。如</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果双方确认电梯存在故障或缺件等遗留问题，应由甲方负责组织维修或更换，在处理完成前，因遗留问题造成的后果由甲方承担。</w:t>
      </w:r>
    </w:p>
    <w:p w14:paraId="3E81FBEF">
      <w:pPr>
        <w:spacing w:before="203" w:line="318" w:lineRule="auto"/>
        <w:ind w:left="32" w:right="69" w:firstLine="433"/>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11.2</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9"/>
          <w:sz w:val="22"/>
          <w:szCs w:val="22"/>
        </w:rPr>
        <w:t>合同终止前，甲、乙双方应组织人员对电梯进行检查，如果发现有</w:t>
      </w:r>
      <w:r>
        <w:rPr>
          <w:rFonts w:ascii="FangSong_GB2312" w:hAnsi="FangSong_GB2312" w:eastAsia="FangSong_GB2312" w:cs="FangSong_GB2312"/>
          <w:spacing w:val="-10"/>
          <w:sz w:val="22"/>
          <w:szCs w:val="22"/>
        </w:rPr>
        <w:t>损坏、故障等问题，</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应由过错方承担责任。</w:t>
      </w:r>
    </w:p>
    <w:p w14:paraId="65BC843F">
      <w:pPr>
        <w:spacing w:before="84" w:line="214" w:lineRule="auto"/>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12.甲乙双方的权利及义务</w:t>
      </w:r>
    </w:p>
    <w:p w14:paraId="03E71103">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w:t>
      </w:r>
      <w:r>
        <w:rPr>
          <w:rFonts w:ascii="FangSong_GB2312" w:hAnsi="FangSong_GB2312" w:eastAsia="FangSong_GB2312" w:cs="FangSong_GB2312"/>
          <w:spacing w:val="-23"/>
          <w:sz w:val="22"/>
          <w:szCs w:val="22"/>
        </w:rPr>
        <w:t xml:space="preserve"> </w:t>
      </w:r>
      <w:r>
        <w:rPr>
          <w:rFonts w:ascii="FangSong_GB2312" w:hAnsi="FangSong_GB2312" w:eastAsia="FangSong_GB2312" w:cs="FangSong_GB2312"/>
          <w:spacing w:val="-9"/>
          <w:sz w:val="22"/>
          <w:szCs w:val="22"/>
        </w:rPr>
        <w:t>甲方(使用单位)权利及义务</w:t>
      </w:r>
    </w:p>
    <w:p w14:paraId="56A85D13">
      <w:pPr>
        <w:spacing w:before="208" w:line="266" w:lineRule="auto"/>
        <w:ind w:left="27" w:right="124" w:firstLine="437"/>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12.1.1</w:t>
      </w:r>
      <w:r>
        <w:rPr>
          <w:rFonts w:ascii="FangSong_GB2312" w:hAnsi="FangSong_GB2312" w:eastAsia="FangSong_GB2312" w:cs="FangSong_GB2312"/>
          <w:spacing w:val="-52"/>
          <w:sz w:val="22"/>
          <w:szCs w:val="22"/>
        </w:rPr>
        <w:t xml:space="preserve"> </w:t>
      </w:r>
      <w:r>
        <w:rPr>
          <w:rFonts w:ascii="FangSong_GB2312" w:hAnsi="FangSong_GB2312" w:eastAsia="FangSong_GB2312" w:cs="FangSong_GB2312"/>
          <w:spacing w:val="-7"/>
          <w:sz w:val="22"/>
          <w:szCs w:val="22"/>
        </w:rPr>
        <w:t>严格按照国家标准、规范及《特种设备使用管理规则》（TSG 08-2017）对电梯进行</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6"/>
          <w:sz w:val="22"/>
          <w:szCs w:val="22"/>
        </w:rPr>
        <w:t>管理；</w:t>
      </w:r>
    </w:p>
    <w:p w14:paraId="4B79907D">
      <w:pPr>
        <w:spacing w:before="206" w:line="267" w:lineRule="auto"/>
        <w:ind w:left="31" w:right="64" w:firstLine="434"/>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12.1.2</w:t>
      </w:r>
      <w:r>
        <w:rPr>
          <w:rFonts w:ascii="FangSong_GB2312" w:hAnsi="FangSong_GB2312" w:eastAsia="FangSong_GB2312" w:cs="FangSong_GB2312"/>
          <w:spacing w:val="-8"/>
          <w:sz w:val="22"/>
          <w:szCs w:val="22"/>
        </w:rPr>
        <w:t xml:space="preserve"> </w:t>
      </w:r>
      <w:r>
        <w:rPr>
          <w:rFonts w:ascii="FangSong_GB2312" w:hAnsi="FangSong_GB2312" w:eastAsia="FangSong_GB2312" w:cs="FangSong_GB2312"/>
          <w:spacing w:val="-10"/>
          <w:sz w:val="22"/>
          <w:szCs w:val="22"/>
        </w:rPr>
        <w:t>甲方如果委托第三方单位作为使用单位的，第三方单位应具备履行使用单位职责的能</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力，甲方须与第三方单位签订委托管理合同。甲方应向乙方提供委托管理合同副本；</w:t>
      </w:r>
    </w:p>
    <w:p w14:paraId="399CA4FC">
      <w:pPr>
        <w:spacing w:before="207" w:line="284" w:lineRule="auto"/>
        <w:ind w:left="26" w:firstLine="438"/>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12.1.3</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9"/>
          <w:sz w:val="22"/>
          <w:szCs w:val="22"/>
        </w:rPr>
        <w:t>建立并有效实施电梯安全管理制度和电梯节能管理制度，以及操作规程；保证电梯的</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1"/>
          <w:sz w:val="22"/>
          <w:szCs w:val="22"/>
        </w:rPr>
        <w:t>用电、消防、防雷、通风、通道、电话通讯、监控摄像和报警装置等系</w:t>
      </w:r>
      <w:r>
        <w:rPr>
          <w:rFonts w:ascii="FangSong_GB2312" w:hAnsi="FangSong_GB2312" w:eastAsia="FangSong_GB2312" w:cs="FangSong_GB2312"/>
          <w:spacing w:val="-12"/>
          <w:sz w:val="22"/>
          <w:szCs w:val="22"/>
        </w:rPr>
        <w:t>统安全可靠；并保证机房、</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井道、底坑无漏水、渗水现象，通往机房、底坑、滑轮间、井道安全门的通道畅通、照明充分；</w:t>
      </w:r>
    </w:p>
    <w:p w14:paraId="7C8E59D3">
      <w:pPr>
        <w:spacing w:before="206" w:line="267" w:lineRule="auto"/>
        <w:ind w:left="33" w:right="69" w:firstLine="431"/>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12.1.4</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9"/>
          <w:sz w:val="22"/>
          <w:szCs w:val="22"/>
        </w:rPr>
        <w:t>设置电梯安全管理机构，配备相应的安全管理人员和作业人员，建立人员管理台账，</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开展安全与节能培训教育， 保存人员培训记</w:t>
      </w:r>
      <w:r>
        <w:rPr>
          <w:rFonts w:ascii="FangSong_GB2312" w:hAnsi="FangSong_GB2312" w:eastAsia="FangSong_GB2312" w:cs="FangSong_GB2312"/>
          <w:spacing w:val="-9"/>
          <w:sz w:val="22"/>
          <w:szCs w:val="22"/>
        </w:rPr>
        <w:t>录；</w:t>
      </w:r>
    </w:p>
    <w:p w14:paraId="5628F24B">
      <w:pPr>
        <w:spacing w:before="205"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12.1.5</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7"/>
          <w:sz w:val="22"/>
          <w:szCs w:val="22"/>
        </w:rPr>
        <w:t>按国家有关要求办理使用登记，领取《特种设</w:t>
      </w:r>
      <w:r>
        <w:rPr>
          <w:rFonts w:ascii="FangSong_GB2312" w:hAnsi="FangSong_GB2312" w:eastAsia="FangSong_GB2312" w:cs="FangSong_GB2312"/>
          <w:spacing w:val="-8"/>
          <w:sz w:val="22"/>
          <w:szCs w:val="22"/>
        </w:rPr>
        <w:t>备使用登记证》；</w:t>
      </w:r>
    </w:p>
    <w:p w14:paraId="500BDB90">
      <w:pPr>
        <w:spacing w:before="209"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12.1.6</w:t>
      </w:r>
      <w:r>
        <w:rPr>
          <w:rFonts w:ascii="FangSong_GB2312" w:hAnsi="FangSong_GB2312" w:eastAsia="FangSong_GB2312" w:cs="FangSong_GB2312"/>
          <w:spacing w:val="-41"/>
          <w:sz w:val="22"/>
          <w:szCs w:val="22"/>
        </w:rPr>
        <w:t xml:space="preserve"> </w:t>
      </w:r>
      <w:r>
        <w:rPr>
          <w:rFonts w:ascii="FangSong_GB2312" w:hAnsi="FangSong_GB2312" w:eastAsia="FangSong_GB2312" w:cs="FangSong_GB2312"/>
          <w:spacing w:val="-8"/>
          <w:sz w:val="22"/>
          <w:szCs w:val="22"/>
        </w:rPr>
        <w:t>建立电梯台账及技术档案；</w:t>
      </w:r>
    </w:p>
    <w:p w14:paraId="7691620A">
      <w:pPr>
        <w:spacing w:before="205"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12.1.7</w:t>
      </w:r>
      <w:r>
        <w:rPr>
          <w:rFonts w:ascii="FangSong_GB2312" w:hAnsi="FangSong_GB2312" w:eastAsia="FangSong_GB2312" w:cs="FangSong_GB2312"/>
          <w:spacing w:val="-41"/>
          <w:sz w:val="22"/>
          <w:szCs w:val="22"/>
        </w:rPr>
        <w:t xml:space="preserve"> </w:t>
      </w:r>
      <w:r>
        <w:rPr>
          <w:rFonts w:ascii="FangSong_GB2312" w:hAnsi="FangSong_GB2312" w:eastAsia="FangSong_GB2312" w:cs="FangSong_GB2312"/>
          <w:spacing w:val="-8"/>
          <w:sz w:val="22"/>
          <w:szCs w:val="22"/>
        </w:rPr>
        <w:t>对电梯作业人员作业情况进行检查，及时纠正违章作业行为；</w:t>
      </w:r>
    </w:p>
    <w:p w14:paraId="3BE9CABA">
      <w:pPr>
        <w:spacing w:before="209" w:line="266" w:lineRule="auto"/>
        <w:ind w:left="30" w:right="64" w:firstLine="435"/>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12.1.8</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9"/>
          <w:sz w:val="22"/>
          <w:szCs w:val="22"/>
        </w:rPr>
        <w:t>需按国家相关规范配备电梯安全管理员，如果更换电梯安全管理人员</w:t>
      </w:r>
      <w:r>
        <w:rPr>
          <w:rFonts w:ascii="FangSong_GB2312" w:hAnsi="FangSong_GB2312" w:eastAsia="FangSong_GB2312" w:cs="FangSong_GB2312"/>
          <w:spacing w:val="-10"/>
          <w:sz w:val="22"/>
          <w:szCs w:val="22"/>
        </w:rPr>
        <w:t>，应及时通知乙</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方。安全管理员职责如下：</w:t>
      </w:r>
    </w:p>
    <w:p w14:paraId="5AF82FF7">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12.1.8.1</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7"/>
          <w:sz w:val="22"/>
          <w:szCs w:val="22"/>
        </w:rPr>
        <w:t>组织建立电梯安全技术档案；</w:t>
      </w:r>
    </w:p>
    <w:p w14:paraId="2CC15CA6">
      <w:pPr>
        <w:spacing w:before="205" w:line="215"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12.1.8.2</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8"/>
          <w:sz w:val="22"/>
          <w:szCs w:val="22"/>
        </w:rPr>
        <w:t>办理特种设备使用登记；</w:t>
      </w:r>
    </w:p>
    <w:p w14:paraId="71624668">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12.1.8.3</w:t>
      </w:r>
      <w:r>
        <w:rPr>
          <w:rFonts w:ascii="FangSong_GB2312" w:hAnsi="FangSong_GB2312" w:eastAsia="FangSong_GB2312" w:cs="FangSong_GB2312"/>
          <w:spacing w:val="-52"/>
          <w:sz w:val="22"/>
          <w:szCs w:val="22"/>
        </w:rPr>
        <w:t xml:space="preserve"> </w:t>
      </w:r>
      <w:r>
        <w:rPr>
          <w:rFonts w:ascii="FangSong_GB2312" w:hAnsi="FangSong_GB2312" w:eastAsia="FangSong_GB2312" w:cs="FangSong_GB2312"/>
          <w:spacing w:val="-7"/>
          <w:sz w:val="22"/>
          <w:szCs w:val="22"/>
        </w:rPr>
        <w:t>组织制定电梯操作规程；</w:t>
      </w:r>
    </w:p>
    <w:p w14:paraId="0F72634F">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12.1.8.4</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7"/>
          <w:sz w:val="22"/>
          <w:szCs w:val="22"/>
        </w:rPr>
        <w:t>组织开展电梯安全教育和技能</w:t>
      </w:r>
      <w:r>
        <w:rPr>
          <w:rFonts w:ascii="FangSong_GB2312" w:hAnsi="FangSong_GB2312" w:eastAsia="FangSong_GB2312" w:cs="FangSong_GB2312"/>
          <w:spacing w:val="-8"/>
          <w:sz w:val="22"/>
          <w:szCs w:val="22"/>
        </w:rPr>
        <w:t>培训；</w:t>
      </w:r>
    </w:p>
    <w:p w14:paraId="0D6377A2">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12.1.8.5</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7"/>
          <w:sz w:val="22"/>
          <w:szCs w:val="22"/>
        </w:rPr>
        <w:t>组织开展电梯定期自行检查；</w:t>
      </w:r>
    </w:p>
    <w:p w14:paraId="669BA40B">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12.1.8.6</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7"/>
          <w:sz w:val="22"/>
          <w:szCs w:val="22"/>
        </w:rPr>
        <w:t>编制电梯定期检验计划，督促落实</w:t>
      </w:r>
      <w:r>
        <w:rPr>
          <w:rFonts w:ascii="FangSong_GB2312" w:hAnsi="FangSong_GB2312" w:eastAsia="FangSong_GB2312" w:cs="FangSong_GB2312"/>
          <w:spacing w:val="-8"/>
          <w:sz w:val="22"/>
          <w:szCs w:val="22"/>
        </w:rPr>
        <w:t>电梯定期检验和隐患治理工作；</w:t>
      </w:r>
    </w:p>
    <w:p w14:paraId="540BCAB7">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12.1.8.7</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7"/>
          <w:sz w:val="22"/>
          <w:szCs w:val="22"/>
        </w:rPr>
        <w:t>按照规定报告电梯事故，参加电</w:t>
      </w:r>
      <w:r>
        <w:rPr>
          <w:rFonts w:ascii="FangSong_GB2312" w:hAnsi="FangSong_GB2312" w:eastAsia="FangSong_GB2312" w:cs="FangSong_GB2312"/>
          <w:spacing w:val="-8"/>
          <w:sz w:val="22"/>
          <w:szCs w:val="22"/>
        </w:rPr>
        <w:t>梯事故救援，协助进行事故调查和善后处理；</w:t>
      </w:r>
    </w:p>
    <w:p w14:paraId="14FE64DB">
      <w:pPr>
        <w:spacing w:before="206" w:line="266" w:lineRule="auto"/>
        <w:ind w:left="47" w:right="64" w:firstLine="417"/>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12.1.8.8</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9"/>
          <w:sz w:val="22"/>
          <w:szCs w:val="22"/>
        </w:rPr>
        <w:t>发现电梯事故隐患，立即进行处理，情况紧急时，可以决定停止使用电梯，并且及</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时报告本单位安全管理负责人；</w:t>
      </w:r>
    </w:p>
    <w:p w14:paraId="3A6A470A">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12.1.8.9</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8"/>
          <w:sz w:val="22"/>
          <w:szCs w:val="22"/>
        </w:rPr>
        <w:t>纠正和制止电梯作业人员的违章行为；</w:t>
      </w:r>
    </w:p>
    <w:p w14:paraId="055BA46D">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12.1.8.10</w:t>
      </w:r>
      <w:r>
        <w:rPr>
          <w:rFonts w:ascii="FangSong_GB2312" w:hAnsi="FangSong_GB2312" w:eastAsia="FangSong_GB2312" w:cs="FangSong_GB2312"/>
          <w:spacing w:val="-30"/>
          <w:sz w:val="22"/>
          <w:szCs w:val="22"/>
        </w:rPr>
        <w:t xml:space="preserve"> </w:t>
      </w:r>
      <w:r>
        <w:rPr>
          <w:rFonts w:ascii="FangSong_GB2312" w:hAnsi="FangSong_GB2312" w:eastAsia="FangSong_GB2312" w:cs="FangSong_GB2312"/>
          <w:spacing w:val="-8"/>
          <w:sz w:val="22"/>
          <w:szCs w:val="22"/>
        </w:rPr>
        <w:t>负责电梯钥匙的使用管理；</w:t>
      </w:r>
    </w:p>
    <w:p w14:paraId="671DB15D">
      <w:pPr>
        <w:spacing w:before="72" w:line="217" w:lineRule="auto"/>
        <w:ind w:left="8"/>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12.1.8.11</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7"/>
          <w:sz w:val="22"/>
          <w:szCs w:val="22"/>
        </w:rPr>
        <w:t>进行电梯运行的日常巡视，记录电梯日</w:t>
      </w:r>
      <w:r>
        <w:rPr>
          <w:rFonts w:ascii="FangSong_GB2312" w:hAnsi="FangSong_GB2312" w:eastAsia="FangSong_GB2312" w:cs="FangSong_GB2312"/>
          <w:spacing w:val="-8"/>
          <w:sz w:val="22"/>
          <w:szCs w:val="22"/>
        </w:rPr>
        <w:t>常使用状况，检查电梯轿厢内安全注意事项和警示标志，确保齐全清晰；</w:t>
      </w:r>
    </w:p>
    <w:p w14:paraId="13D3E030">
      <w:pPr>
        <w:spacing w:before="204" w:line="214" w:lineRule="auto"/>
        <w:ind w:left="444"/>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12.1.8.12负责对乙方的维护保养记录、维修记录等文件资料签字确认；</w:t>
      </w:r>
    </w:p>
    <w:p w14:paraId="5DDFCD4C">
      <w:pPr>
        <w:spacing w:before="209" w:line="266" w:lineRule="auto"/>
        <w:ind w:left="9" w:right="109" w:firstLine="435"/>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12.1.9</w:t>
      </w:r>
      <w:r>
        <w:rPr>
          <w:rFonts w:ascii="FangSong_GB2312" w:hAnsi="FangSong_GB2312" w:eastAsia="FangSong_GB2312" w:cs="FangSong_GB2312"/>
          <w:spacing w:val="-8"/>
          <w:sz w:val="22"/>
          <w:szCs w:val="22"/>
        </w:rPr>
        <w:t xml:space="preserve"> </w:t>
      </w:r>
      <w:r>
        <w:rPr>
          <w:rFonts w:ascii="FangSong_GB2312" w:hAnsi="FangSong_GB2312" w:eastAsia="FangSong_GB2312" w:cs="FangSong_GB2312"/>
          <w:spacing w:val="-10"/>
          <w:sz w:val="22"/>
          <w:szCs w:val="22"/>
        </w:rPr>
        <w:t>甲方应向乙方提供电梯技术资料如电气原理图、布线图等，以及上一年度的《电梯定</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期检验报告》或《电梯监督检验报告》，以便于乙方工作；</w:t>
      </w:r>
    </w:p>
    <w:p w14:paraId="7892A760">
      <w:pPr>
        <w:spacing w:before="203" w:line="285" w:lineRule="auto"/>
        <w:ind w:right="117" w:firstLine="444"/>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12.1.10</w:t>
      </w:r>
      <w:r>
        <w:rPr>
          <w:rFonts w:ascii="FangSong_GB2312" w:hAnsi="FangSong_GB2312" w:eastAsia="FangSong_GB2312" w:cs="FangSong_GB2312"/>
          <w:spacing w:val="-24"/>
          <w:sz w:val="22"/>
          <w:szCs w:val="22"/>
        </w:rPr>
        <w:t xml:space="preserve"> </w:t>
      </w:r>
      <w:r>
        <w:rPr>
          <w:rFonts w:ascii="FangSong_GB2312" w:hAnsi="FangSong_GB2312" w:eastAsia="FangSong_GB2312" w:cs="FangSong_GB2312"/>
          <w:spacing w:val="-8"/>
          <w:sz w:val="22"/>
          <w:szCs w:val="22"/>
        </w:rPr>
        <w:t>甲方应做好电梯的日常运行管理工作</w:t>
      </w:r>
      <w:r>
        <w:rPr>
          <w:rFonts w:ascii="FangSong_GB2312" w:hAnsi="FangSong_GB2312" w:eastAsia="FangSong_GB2312" w:cs="FangSong_GB2312"/>
          <w:spacing w:val="-9"/>
          <w:sz w:val="22"/>
          <w:szCs w:val="22"/>
        </w:rPr>
        <w:t>，监督乘客按要求使用电梯，如因使用不当造</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成电梯损坏，乙方不承担责任；甲方如在电梯使用过程中发现事故隐患、故障等异常情况应立即</w:t>
      </w:r>
      <w:r>
        <w:rPr>
          <w:rFonts w:ascii="FangSong_GB2312" w:hAnsi="FangSong_GB2312" w:eastAsia="FangSong_GB2312" w:cs="FangSong_GB2312"/>
          <w:spacing w:val="5"/>
          <w:sz w:val="22"/>
          <w:szCs w:val="22"/>
        </w:rPr>
        <w:t xml:space="preserve"> </w:t>
      </w:r>
      <w:r>
        <w:rPr>
          <w:rFonts w:ascii="FangSong_GB2312" w:hAnsi="FangSong_GB2312" w:eastAsia="FangSong_GB2312" w:cs="FangSong_GB2312"/>
          <w:spacing w:val="-7"/>
          <w:sz w:val="22"/>
          <w:szCs w:val="22"/>
        </w:rPr>
        <w:t>停止使用，并及时通知乙方；</w:t>
      </w:r>
    </w:p>
    <w:p w14:paraId="23B5A5CD">
      <w:pPr>
        <w:spacing w:before="207" w:line="266" w:lineRule="auto"/>
        <w:ind w:left="6" w:right="170" w:firstLine="437"/>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12.1.11</w:t>
      </w:r>
      <w:r>
        <w:rPr>
          <w:rFonts w:ascii="FangSong_GB2312" w:hAnsi="FangSong_GB2312" w:eastAsia="FangSong_GB2312" w:cs="FangSong_GB2312"/>
          <w:spacing w:val="-24"/>
          <w:sz w:val="22"/>
          <w:szCs w:val="22"/>
        </w:rPr>
        <w:t xml:space="preserve"> </w:t>
      </w:r>
      <w:r>
        <w:rPr>
          <w:rFonts w:ascii="FangSong_GB2312" w:hAnsi="FangSong_GB2312" w:eastAsia="FangSong_GB2312" w:cs="FangSong_GB2312"/>
          <w:spacing w:val="-8"/>
          <w:sz w:val="22"/>
          <w:szCs w:val="22"/>
        </w:rPr>
        <w:t>甲方负责电梯设备的部分清洁工作。</w:t>
      </w:r>
      <w:r>
        <w:rPr>
          <w:rFonts w:ascii="FangSong_GB2312" w:hAnsi="FangSong_GB2312" w:eastAsia="FangSong_GB2312" w:cs="FangSong_GB2312"/>
          <w:spacing w:val="-9"/>
          <w:sz w:val="22"/>
          <w:szCs w:val="22"/>
        </w:rPr>
        <w:t>包括：轿内装饰、按钮面板、指示灯面板、轿</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壁、门地坎、梯级、梳齿板、扶手带、出入口等；</w:t>
      </w:r>
    </w:p>
    <w:p w14:paraId="0CAB6ACD">
      <w:pPr>
        <w:spacing w:before="204" w:line="293" w:lineRule="auto"/>
        <w:ind w:left="4" w:right="109" w:firstLine="440"/>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12.1.12</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8"/>
          <w:sz w:val="22"/>
          <w:szCs w:val="22"/>
        </w:rPr>
        <w:t>如甲方不同意乙方为保证电梯的安全运行而提出的更换零部件的要求，且经双方友</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0"/>
          <w:sz w:val="22"/>
          <w:szCs w:val="22"/>
        </w:rPr>
        <w:t>好协商后仍无法达成一致， 则任何一方均可向  提出鉴定申请，相关费用由提出方先行垫付，如</w:t>
      </w:r>
      <w:r>
        <w:rPr>
          <w:rFonts w:ascii="FangSong_GB2312" w:hAnsi="FangSong_GB2312" w:eastAsia="FangSong_GB2312" w:cs="FangSong_GB2312"/>
          <w:spacing w:val="3"/>
          <w:sz w:val="22"/>
          <w:szCs w:val="22"/>
        </w:rPr>
        <w:t xml:space="preserve"> </w:t>
      </w:r>
      <w:r>
        <w:rPr>
          <w:rFonts w:ascii="FangSong_GB2312" w:hAnsi="FangSong_GB2312" w:eastAsia="FangSong_GB2312" w:cs="FangSong_GB2312"/>
          <w:spacing w:val="-8"/>
          <w:sz w:val="22"/>
          <w:szCs w:val="22"/>
        </w:rPr>
        <w:t>果鉴定结果认为应予更换，则应更换零部件，且由甲方承担更换零部件及鉴定等相关费用，否则</w:t>
      </w:r>
      <w:r>
        <w:rPr>
          <w:rFonts w:ascii="FangSong_GB2312" w:hAnsi="FangSong_GB2312" w:eastAsia="FangSong_GB2312" w:cs="FangSong_GB2312"/>
          <w:spacing w:val="1"/>
          <w:sz w:val="22"/>
          <w:szCs w:val="22"/>
        </w:rPr>
        <w:t xml:space="preserve"> </w:t>
      </w:r>
      <w:r>
        <w:rPr>
          <w:rFonts w:ascii="FangSong_GB2312" w:hAnsi="FangSong_GB2312" w:eastAsia="FangSong_GB2312" w:cs="FangSong_GB2312"/>
          <w:spacing w:val="-8"/>
          <w:sz w:val="22"/>
          <w:szCs w:val="22"/>
        </w:rPr>
        <w:t>由乙方承担相关费用；鉴定期间因该零部件原因造成的损害， 乙方不承担责任；</w:t>
      </w:r>
    </w:p>
    <w:p w14:paraId="1594A5FD">
      <w:pPr>
        <w:spacing w:before="209" w:line="284" w:lineRule="auto"/>
        <w:ind w:left="16" w:firstLine="428"/>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12.1.13</w:t>
      </w:r>
      <w:r>
        <w:rPr>
          <w:rFonts w:ascii="FangSong_GB2312" w:hAnsi="FangSong_GB2312" w:eastAsia="FangSong_GB2312" w:cs="FangSong_GB2312"/>
          <w:spacing w:val="-24"/>
          <w:sz w:val="22"/>
          <w:szCs w:val="22"/>
        </w:rPr>
        <w:t xml:space="preserve"> </w:t>
      </w:r>
      <w:r>
        <w:rPr>
          <w:rFonts w:ascii="FangSong_GB2312" w:hAnsi="FangSong_GB2312" w:eastAsia="FangSong_GB2312" w:cs="FangSong_GB2312"/>
          <w:spacing w:val="-9"/>
          <w:sz w:val="22"/>
          <w:szCs w:val="22"/>
        </w:rPr>
        <w:t>甲方不得允许甲方电梯管理操作人员及乙方</w:t>
      </w:r>
      <w:r>
        <w:rPr>
          <w:rFonts w:ascii="FangSong_GB2312" w:hAnsi="FangSong_GB2312" w:eastAsia="FangSong_GB2312" w:cs="FangSong_GB2312"/>
          <w:spacing w:val="-10"/>
          <w:sz w:val="22"/>
          <w:szCs w:val="22"/>
        </w:rPr>
        <w:t>维修保养人员以外的其他人员进入机房、</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井道、底坑、滑轮间及轿顶等，否则由此造成的电梯故意损坏、意外损</w:t>
      </w:r>
      <w:r>
        <w:rPr>
          <w:rFonts w:ascii="FangSong_GB2312" w:hAnsi="FangSong_GB2312" w:eastAsia="FangSong_GB2312" w:cs="FangSong_GB2312"/>
          <w:spacing w:val="-9"/>
          <w:sz w:val="22"/>
          <w:szCs w:val="22"/>
        </w:rPr>
        <w:t>坏、人身伤亡及其它损失</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等由甲方负责；</w:t>
      </w:r>
    </w:p>
    <w:p w14:paraId="120EC032">
      <w:pPr>
        <w:spacing w:before="206" w:line="266" w:lineRule="auto"/>
        <w:ind w:left="5" w:right="170" w:firstLine="438"/>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12.1.14</w:t>
      </w:r>
      <w:r>
        <w:rPr>
          <w:rFonts w:ascii="FangSong_GB2312" w:hAnsi="FangSong_GB2312" w:eastAsia="FangSong_GB2312" w:cs="FangSong_GB2312"/>
          <w:spacing w:val="-24"/>
          <w:sz w:val="22"/>
          <w:szCs w:val="22"/>
        </w:rPr>
        <w:t xml:space="preserve"> </w:t>
      </w:r>
      <w:r>
        <w:rPr>
          <w:rFonts w:ascii="FangSong_GB2312" w:hAnsi="FangSong_GB2312" w:eastAsia="FangSong_GB2312" w:cs="FangSong_GB2312"/>
          <w:spacing w:val="-8"/>
          <w:sz w:val="22"/>
          <w:szCs w:val="22"/>
        </w:rPr>
        <w:t>甲方不得拆除、破坏乙方为保证电梯</w:t>
      </w:r>
      <w:r>
        <w:rPr>
          <w:rFonts w:ascii="FangSong_GB2312" w:hAnsi="FangSong_GB2312" w:eastAsia="FangSong_GB2312" w:cs="FangSong_GB2312"/>
          <w:spacing w:val="-9"/>
          <w:sz w:val="22"/>
          <w:szCs w:val="22"/>
        </w:rPr>
        <w:t>安全运行增设的物联网设备，乙方不得通过物</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联网设备影响电梯的正常运行，物联网设备的所有权归乙方所有；</w:t>
      </w:r>
    </w:p>
    <w:p w14:paraId="36950F9A">
      <w:pPr>
        <w:spacing w:before="208" w:line="266" w:lineRule="auto"/>
        <w:ind w:left="11" w:right="45" w:firstLine="432"/>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12.1.15</w:t>
      </w:r>
      <w:r>
        <w:rPr>
          <w:rFonts w:ascii="FangSong_GB2312" w:hAnsi="FangSong_GB2312" w:eastAsia="FangSong_GB2312" w:cs="FangSong_GB2312"/>
          <w:spacing w:val="-23"/>
          <w:sz w:val="22"/>
          <w:szCs w:val="22"/>
        </w:rPr>
        <w:t xml:space="preserve"> </w:t>
      </w:r>
      <w:r>
        <w:rPr>
          <w:rFonts w:ascii="FangSong_GB2312" w:hAnsi="FangSong_GB2312" w:eastAsia="FangSong_GB2312" w:cs="FangSong_GB2312"/>
          <w:spacing w:val="-10"/>
          <w:sz w:val="22"/>
          <w:szCs w:val="22"/>
        </w:rPr>
        <w:t>甲方不得允许非乙方人员对电梯进行维</w:t>
      </w:r>
      <w:r>
        <w:rPr>
          <w:rFonts w:ascii="FangSong_GB2312" w:hAnsi="FangSong_GB2312" w:eastAsia="FangSong_GB2312" w:cs="FangSong_GB2312"/>
          <w:spacing w:val="-11"/>
          <w:sz w:val="22"/>
          <w:szCs w:val="22"/>
        </w:rPr>
        <w:t>护保养、修理、改造、更换设备、增减功能、</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更改线路及其他的使电梯运行状态、性能发生改变的行为，本合同另有约定的除外；</w:t>
      </w:r>
    </w:p>
    <w:p w14:paraId="0B5F9D9A">
      <w:pPr>
        <w:spacing w:before="208" w:line="214" w:lineRule="auto"/>
        <w:ind w:left="444"/>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12.1.16</w:t>
      </w:r>
      <w:r>
        <w:rPr>
          <w:rFonts w:ascii="FangSong_GB2312" w:hAnsi="FangSong_GB2312" w:eastAsia="FangSong_GB2312" w:cs="FangSong_GB2312"/>
          <w:spacing w:val="-7"/>
          <w:sz w:val="22"/>
          <w:szCs w:val="22"/>
        </w:rPr>
        <w:t xml:space="preserve"> </w:t>
      </w:r>
      <w:r>
        <w:rPr>
          <w:rFonts w:ascii="FangSong_GB2312" w:hAnsi="FangSong_GB2312" w:eastAsia="FangSong_GB2312" w:cs="FangSong_GB2312"/>
          <w:spacing w:val="-9"/>
          <w:sz w:val="22"/>
          <w:szCs w:val="22"/>
        </w:rPr>
        <w:t>甲方应承担国家规定需使用单位承担的其它工作。</w:t>
      </w:r>
    </w:p>
    <w:p w14:paraId="1FF1B5B5">
      <w:pPr>
        <w:spacing w:before="206" w:line="214" w:lineRule="auto"/>
        <w:ind w:left="444"/>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12.2</w:t>
      </w:r>
      <w:r>
        <w:rPr>
          <w:rFonts w:ascii="FangSong_GB2312" w:hAnsi="FangSong_GB2312" w:eastAsia="FangSong_GB2312" w:cs="FangSong_GB2312"/>
          <w:spacing w:val="-15"/>
          <w:sz w:val="22"/>
          <w:szCs w:val="22"/>
        </w:rPr>
        <w:t xml:space="preserve"> </w:t>
      </w:r>
      <w:r>
        <w:rPr>
          <w:rFonts w:ascii="FangSong_GB2312" w:hAnsi="FangSong_GB2312" w:eastAsia="FangSong_GB2312" w:cs="FangSong_GB2312"/>
          <w:spacing w:val="-10"/>
          <w:sz w:val="22"/>
          <w:szCs w:val="22"/>
        </w:rPr>
        <w:t>乙方（维保单位）权利及义务</w:t>
      </w:r>
    </w:p>
    <w:p w14:paraId="22ED79D5">
      <w:pPr>
        <w:spacing w:before="207" w:line="267" w:lineRule="auto"/>
        <w:ind w:left="3" w:right="179" w:firstLine="441"/>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w:t>
      </w:r>
      <w:r>
        <w:rPr>
          <w:rFonts w:ascii="FangSong_GB2312" w:hAnsi="FangSong_GB2312" w:eastAsia="FangSong_GB2312" w:cs="FangSong_GB2312"/>
          <w:spacing w:val="-46"/>
          <w:sz w:val="22"/>
          <w:szCs w:val="22"/>
        </w:rPr>
        <w:t xml:space="preserve"> </w:t>
      </w:r>
      <w:r>
        <w:rPr>
          <w:rFonts w:ascii="FangSong_GB2312" w:hAnsi="FangSong_GB2312" w:eastAsia="FangSong_GB2312" w:cs="FangSong_GB2312"/>
          <w:spacing w:val="-8"/>
          <w:sz w:val="22"/>
          <w:szCs w:val="22"/>
        </w:rPr>
        <w:t>严格按照国家标准、规范或本合同第 8 条约定的维保服务标准对本项目电梯进行维</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3"/>
          <w:sz w:val="22"/>
          <w:szCs w:val="22"/>
        </w:rPr>
        <w:t>保；</w:t>
      </w:r>
    </w:p>
    <w:p w14:paraId="2032D359">
      <w:pPr>
        <w:spacing w:before="208" w:line="214" w:lineRule="auto"/>
        <w:ind w:left="444"/>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12.2.2</w:t>
      </w:r>
      <w:r>
        <w:rPr>
          <w:rFonts w:ascii="FangSong_GB2312" w:hAnsi="FangSong_GB2312" w:eastAsia="FangSong_GB2312" w:cs="FangSong_GB2312"/>
          <w:spacing w:val="-40"/>
          <w:sz w:val="22"/>
          <w:szCs w:val="22"/>
        </w:rPr>
        <w:t xml:space="preserve"> </w:t>
      </w:r>
      <w:r>
        <w:rPr>
          <w:rFonts w:ascii="FangSong_GB2312" w:hAnsi="FangSong_GB2312" w:eastAsia="FangSong_GB2312" w:cs="FangSong_GB2312"/>
          <w:spacing w:val="-8"/>
          <w:sz w:val="22"/>
          <w:szCs w:val="22"/>
        </w:rPr>
        <w:t>维保期间落实现场安全防护措施，保证施工安全；</w:t>
      </w:r>
    </w:p>
    <w:p w14:paraId="236CBBC0">
      <w:pPr>
        <w:spacing w:before="204" w:line="267" w:lineRule="auto"/>
        <w:ind w:left="12" w:right="109" w:firstLine="431"/>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12.2.3</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9"/>
          <w:sz w:val="22"/>
          <w:szCs w:val="22"/>
        </w:rPr>
        <w:t>按照国家有关安全技术规范的要求，制定应急措施和救援预案。配合甲方进行应急演</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练；</w:t>
      </w:r>
    </w:p>
    <w:p w14:paraId="181AFE90">
      <w:pPr>
        <w:spacing w:before="207" w:line="214" w:lineRule="auto"/>
        <w:ind w:left="444"/>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12.2.4</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7"/>
          <w:sz w:val="22"/>
          <w:szCs w:val="22"/>
        </w:rPr>
        <w:t>设立 24 小时维保值班电话，保证接</w:t>
      </w:r>
      <w:r>
        <w:rPr>
          <w:rFonts w:ascii="FangSong_GB2312" w:hAnsi="FangSong_GB2312" w:eastAsia="FangSong_GB2312" w:cs="FangSong_GB2312"/>
          <w:spacing w:val="-8"/>
          <w:sz w:val="22"/>
          <w:szCs w:val="22"/>
        </w:rPr>
        <w:t>到故障通知后及时予以排除；</w:t>
      </w:r>
    </w:p>
    <w:p w14:paraId="70F18229">
      <w:pPr>
        <w:spacing w:before="205" w:line="214" w:lineRule="auto"/>
        <w:jc w:val="right"/>
        <w:rPr>
          <w:rFonts w:ascii="FangSong_GB2312" w:hAnsi="FangSong_GB2312" w:eastAsia="FangSong_GB2312" w:cs="FangSong_GB2312"/>
          <w:sz w:val="22"/>
          <w:szCs w:val="22"/>
        </w:rPr>
      </w:pPr>
      <w:r>
        <w:rPr>
          <w:rFonts w:ascii="FangSong_GB2312" w:hAnsi="FangSong_GB2312" w:eastAsia="FangSong_GB2312" w:cs="FangSong_GB2312"/>
          <w:spacing w:val="-13"/>
          <w:sz w:val="22"/>
          <w:szCs w:val="22"/>
        </w:rPr>
        <w:t>12.2.5</w:t>
      </w:r>
      <w:r>
        <w:rPr>
          <w:rFonts w:ascii="FangSong_GB2312" w:hAnsi="FangSong_GB2312" w:eastAsia="FangSong_GB2312" w:cs="FangSong_GB2312"/>
          <w:spacing w:val="-39"/>
          <w:sz w:val="22"/>
          <w:szCs w:val="22"/>
        </w:rPr>
        <w:t xml:space="preserve"> </w:t>
      </w:r>
      <w:r>
        <w:rPr>
          <w:rFonts w:ascii="FangSong_GB2312" w:hAnsi="FangSong_GB2312" w:eastAsia="FangSong_GB2312" w:cs="FangSong_GB2312"/>
          <w:spacing w:val="-13"/>
          <w:sz w:val="22"/>
          <w:szCs w:val="22"/>
        </w:rPr>
        <w:t>对电梯发生的故障等情况，及时进行详细的记录，并经甲方指定的安全管理人员签字；</w:t>
      </w:r>
    </w:p>
    <w:p w14:paraId="3ECD6CD3">
      <w:pPr>
        <w:spacing w:before="210" w:line="266" w:lineRule="auto"/>
        <w:ind w:left="4" w:right="109" w:firstLine="440"/>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12.2.6</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9"/>
          <w:sz w:val="22"/>
          <w:szCs w:val="22"/>
        </w:rPr>
        <w:t>建立每台电梯的维保记录并经甲方指定的安全管理人员签字，及时归入电梯安全技术</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5"/>
          <w:sz w:val="22"/>
          <w:szCs w:val="22"/>
        </w:rPr>
        <w:t>档案；</w:t>
      </w:r>
    </w:p>
    <w:p w14:paraId="441C3544">
      <w:pPr>
        <w:keepNext w:val="0"/>
        <w:keepLines w:val="0"/>
        <w:pageBreakBefore w:val="0"/>
        <w:widowControl w:val="0"/>
        <w:kinsoku/>
        <w:wordWrap/>
        <w:overflowPunct/>
        <w:topLinePunct w:val="0"/>
        <w:autoSpaceDE/>
        <w:autoSpaceDN/>
        <w:bidi w:val="0"/>
        <w:adjustRightInd/>
        <w:snapToGrid w:val="0"/>
        <w:spacing w:line="276" w:lineRule="auto"/>
        <w:ind w:left="0" w:firstLine="408" w:firstLineChars="200"/>
        <w:textAlignment w:val="auto"/>
        <w:rPr>
          <w:rFonts w:ascii="FangSong_GB2312" w:hAnsi="FangSong_GB2312" w:eastAsia="FangSong_GB2312" w:cs="FangSong_GB2312"/>
          <w:spacing w:val="-8"/>
          <w:sz w:val="22"/>
          <w:szCs w:val="22"/>
        </w:rPr>
      </w:pPr>
      <w:r>
        <w:rPr>
          <w:rFonts w:ascii="FangSong_GB2312" w:hAnsi="FangSong_GB2312" w:eastAsia="FangSong_GB2312" w:cs="FangSong_GB2312"/>
          <w:spacing w:val="-8"/>
          <w:sz w:val="22"/>
          <w:szCs w:val="22"/>
        </w:rPr>
        <w:t>12.2.7</w:t>
      </w:r>
      <w:r>
        <w:rPr>
          <w:rFonts w:ascii="FangSong_GB2312" w:hAnsi="FangSong_GB2312" w:eastAsia="FangSong_GB2312" w:cs="FangSong_GB2312"/>
          <w:spacing w:val="-40"/>
          <w:sz w:val="22"/>
          <w:szCs w:val="22"/>
        </w:rPr>
        <w:t xml:space="preserve"> </w:t>
      </w:r>
      <w:r>
        <w:rPr>
          <w:rFonts w:ascii="FangSong_GB2312" w:hAnsi="FangSong_GB2312" w:eastAsia="FangSong_GB2312" w:cs="FangSong_GB2312"/>
          <w:spacing w:val="-8"/>
          <w:sz w:val="22"/>
          <w:szCs w:val="22"/>
        </w:rPr>
        <w:t>协助甲方制定电梯安全管理制度和应急救援预案；</w:t>
      </w:r>
    </w:p>
    <w:p w14:paraId="143CBD49">
      <w:pPr>
        <w:spacing w:before="71" w:line="266" w:lineRule="auto"/>
        <w:ind w:left="29" w:right="162" w:firstLine="436"/>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12.2.8</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9"/>
          <w:sz w:val="22"/>
          <w:szCs w:val="22"/>
        </w:rPr>
        <w:t>对承担维保的作业人员进行安全教育与培训，按照特种设备作业人员考核要求，</w:t>
      </w:r>
      <w:r>
        <w:rPr>
          <w:rFonts w:ascii="FangSong_GB2312" w:hAnsi="FangSong_GB2312" w:eastAsia="FangSong_GB2312" w:cs="FangSong_GB2312"/>
          <w:spacing w:val="-10"/>
          <w:sz w:val="22"/>
          <w:szCs w:val="22"/>
        </w:rPr>
        <w:t>组织</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取得相应的《特种设备作业人员证》，培训和考核记录存档备查；</w:t>
      </w:r>
    </w:p>
    <w:p w14:paraId="61D112F1">
      <w:pPr>
        <w:spacing w:before="206" w:line="284" w:lineRule="auto"/>
        <w:ind w:left="29" w:firstLine="436"/>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12.2.9</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10"/>
          <w:sz w:val="22"/>
          <w:szCs w:val="22"/>
        </w:rPr>
        <w:t>每年度至少进行一次自行检查，自行检查在特种设备检验机构进行定期检验之前进</w:t>
      </w:r>
      <w:r>
        <w:rPr>
          <w:rFonts w:ascii="FangSong_GB2312" w:hAnsi="FangSong_GB2312" w:eastAsia="FangSong_GB2312" w:cs="FangSong_GB2312"/>
          <w:spacing w:val="-11"/>
          <w:sz w:val="22"/>
          <w:szCs w:val="22"/>
        </w:rPr>
        <w:t>行，</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自行检查项目及其内容根据使用状况确定，但是不少于《电梯维护保养规则》（TSG</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8"/>
          <w:sz w:val="22"/>
          <w:szCs w:val="22"/>
        </w:rPr>
        <w:t>T5002-2017）</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年度维保和电梯定期检验规定的项目及其内容，并且向甲方出具有自行检查和审核人员的签字、</w:t>
      </w:r>
    </w:p>
    <w:p w14:paraId="1E1E707F">
      <w:pPr>
        <w:spacing w:before="123" w:line="215" w:lineRule="auto"/>
        <w:ind w:left="26"/>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加盖乙方公章或者其他专用章的自行检查记录或者报告；</w:t>
      </w:r>
    </w:p>
    <w:p w14:paraId="4F2FD3FE">
      <w:pPr>
        <w:spacing w:before="206" w:line="267" w:lineRule="auto"/>
        <w:ind w:left="32" w:right="220" w:firstLine="433"/>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12.2.10</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8"/>
          <w:sz w:val="22"/>
          <w:szCs w:val="22"/>
        </w:rPr>
        <w:t>安排维保人员配合特种设备检验机构进行本合同周期内一年一次的电梯的定期检验</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工作；</w:t>
      </w:r>
    </w:p>
    <w:p w14:paraId="583C083F">
      <w:pPr>
        <w:spacing w:before="207" w:line="266" w:lineRule="auto"/>
        <w:ind w:left="54" w:right="220" w:firstLine="411"/>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12.2.11</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8"/>
          <w:sz w:val="22"/>
          <w:szCs w:val="22"/>
        </w:rPr>
        <w:t>在维保过程中，发现事故隐患及时告知电梯使用单位；发现严重事故隐患，及时向</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0"/>
          <w:sz w:val="22"/>
          <w:szCs w:val="22"/>
        </w:rPr>
        <w:t>当地特种设备安全监督管理部门报告；</w:t>
      </w:r>
    </w:p>
    <w:p w14:paraId="396B0CD2">
      <w:pPr>
        <w:spacing w:before="207" w:line="293" w:lineRule="auto"/>
        <w:ind w:left="57" w:right="100" w:firstLine="408"/>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12.2.12</w:t>
      </w:r>
      <w:r>
        <w:rPr>
          <w:rFonts w:ascii="FangSong_GB2312" w:hAnsi="FangSong_GB2312" w:eastAsia="FangSong_GB2312" w:cs="FangSong_GB2312"/>
          <w:spacing w:val="-48"/>
          <w:sz w:val="22"/>
          <w:szCs w:val="22"/>
        </w:rPr>
        <w:t xml:space="preserve"> </w:t>
      </w:r>
      <w:r>
        <w:rPr>
          <w:rFonts w:ascii="FangSong_GB2312" w:hAnsi="FangSong_GB2312" w:eastAsia="FangSong_GB2312" w:cs="FangSong_GB2312"/>
          <w:spacing w:val="-10"/>
          <w:sz w:val="22"/>
          <w:szCs w:val="22"/>
        </w:rPr>
        <w:t>在维保过程中，发现电梯损坏严重，可能危及乘客安全或对电梯造成更大的损害时，</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2"/>
          <w:sz w:val="22"/>
          <w:szCs w:val="22"/>
        </w:rPr>
        <w:t>乙方有权立即中止该电梯的运行，但必须及时向甲方报告故障原因、可能造成的危险及修理</w:t>
      </w:r>
      <w:r>
        <w:rPr>
          <w:rFonts w:ascii="FangSong_GB2312" w:hAnsi="FangSong_GB2312" w:eastAsia="FangSong_GB2312" w:cs="FangSong_GB2312"/>
          <w:spacing w:val="-13"/>
          <w:sz w:val="22"/>
          <w:szCs w:val="22"/>
        </w:rPr>
        <w:t>方案。</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2"/>
          <w:sz w:val="22"/>
          <w:szCs w:val="22"/>
        </w:rPr>
        <w:t>乙方应按双方约定的修理方案尽快恢复电梯的正常运行，在乙方对该电梯的修理工作未完成</w:t>
      </w:r>
      <w:r>
        <w:rPr>
          <w:rFonts w:ascii="FangSong_GB2312" w:hAnsi="FangSong_GB2312" w:eastAsia="FangSong_GB2312" w:cs="FangSong_GB2312"/>
          <w:spacing w:val="-13"/>
          <w:sz w:val="22"/>
          <w:szCs w:val="22"/>
        </w:rPr>
        <w:t>之前，</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0"/>
          <w:sz w:val="22"/>
          <w:szCs w:val="22"/>
        </w:rPr>
        <w:t>甲方强行使用电梯造成的损失，由甲方负责；</w:t>
      </w:r>
    </w:p>
    <w:p w14:paraId="39C58B47">
      <w:pPr>
        <w:spacing w:before="205" w:line="266" w:lineRule="auto"/>
        <w:ind w:left="26" w:right="220" w:firstLine="438"/>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12.2.13</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8"/>
          <w:sz w:val="22"/>
          <w:szCs w:val="22"/>
        </w:rPr>
        <w:t>如需乙方更换、安装、调试甲方自行提供的电梯零配件、润滑油，甲方应向乙方另</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行支付工时费、调试费等， 且甲方对自行提供的电梯配件的质量负责；</w:t>
      </w:r>
    </w:p>
    <w:p w14:paraId="406E2F1A">
      <w:pPr>
        <w:spacing w:before="209" w:line="266" w:lineRule="auto"/>
        <w:ind w:left="37" w:right="220" w:firstLine="428"/>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12.2.14</w:t>
      </w:r>
      <w:r>
        <w:rPr>
          <w:rFonts w:ascii="FangSong_GB2312" w:hAnsi="FangSong_GB2312" w:eastAsia="FangSong_GB2312" w:cs="FangSong_GB2312"/>
          <w:spacing w:val="-44"/>
          <w:sz w:val="22"/>
          <w:szCs w:val="22"/>
        </w:rPr>
        <w:t xml:space="preserve"> </w:t>
      </w:r>
      <w:r>
        <w:rPr>
          <w:rFonts w:ascii="FangSong_GB2312" w:hAnsi="FangSong_GB2312" w:eastAsia="FangSong_GB2312" w:cs="FangSong_GB2312"/>
          <w:spacing w:val="-8"/>
          <w:sz w:val="22"/>
          <w:szCs w:val="22"/>
        </w:rPr>
        <w:t>维护保养的项目属于住宅小区电梯时，应当每月将电梯的安全状况、维护保养情况</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等信息在小区内向业主公示；</w:t>
      </w:r>
    </w:p>
    <w:p w14:paraId="139668A1">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12.2.15</w:t>
      </w:r>
      <w:r>
        <w:rPr>
          <w:rFonts w:ascii="FangSong_GB2312" w:hAnsi="FangSong_GB2312" w:eastAsia="FangSong_GB2312" w:cs="FangSong_GB2312"/>
          <w:spacing w:val="-26"/>
          <w:sz w:val="22"/>
          <w:szCs w:val="22"/>
        </w:rPr>
        <w:t xml:space="preserve"> </w:t>
      </w:r>
      <w:r>
        <w:rPr>
          <w:rFonts w:ascii="FangSong_GB2312" w:hAnsi="FangSong_GB2312" w:eastAsia="FangSong_GB2312" w:cs="FangSong_GB2312"/>
          <w:spacing w:val="-8"/>
          <w:sz w:val="22"/>
          <w:szCs w:val="22"/>
        </w:rPr>
        <w:t>乙方应承担国家规定需维保</w:t>
      </w:r>
      <w:r>
        <w:rPr>
          <w:rFonts w:ascii="FangSong_GB2312" w:hAnsi="FangSong_GB2312" w:eastAsia="FangSong_GB2312" w:cs="FangSong_GB2312"/>
          <w:spacing w:val="-9"/>
          <w:sz w:val="22"/>
          <w:szCs w:val="22"/>
        </w:rPr>
        <w:t>单位承担的其它工作。</w:t>
      </w:r>
    </w:p>
    <w:p w14:paraId="1A881C7A">
      <w:pPr>
        <w:spacing w:before="206" w:line="214" w:lineRule="auto"/>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13.维护保养记录</w:t>
      </w:r>
    </w:p>
    <w:p w14:paraId="46897554">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13.1</w:t>
      </w:r>
      <w:r>
        <w:rPr>
          <w:rFonts w:ascii="FangSong_GB2312" w:hAnsi="FangSong_GB2312" w:eastAsia="FangSong_GB2312" w:cs="FangSong_GB2312"/>
          <w:spacing w:val="-45"/>
          <w:sz w:val="22"/>
          <w:szCs w:val="22"/>
        </w:rPr>
        <w:t xml:space="preserve"> </w:t>
      </w:r>
      <w:r>
        <w:rPr>
          <w:rFonts w:ascii="FangSong_GB2312" w:hAnsi="FangSong_GB2312" w:eastAsia="FangSong_GB2312" w:cs="FangSong_GB2312"/>
          <w:spacing w:val="-8"/>
          <w:sz w:val="22"/>
          <w:szCs w:val="22"/>
        </w:rPr>
        <w:t>纸质单据：一式两份，由甲、乙双方各自存档。保存时间不少于于 4 年；</w:t>
      </w:r>
    </w:p>
    <w:p w14:paraId="06E2F1F7">
      <w:pPr>
        <w:spacing w:before="207" w:line="293" w:lineRule="auto"/>
        <w:ind w:left="32" w:right="160" w:firstLine="433"/>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13.2</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9"/>
          <w:sz w:val="22"/>
          <w:szCs w:val="22"/>
        </w:rPr>
        <w:t>无纸化电子单据：其维保记录格式、内容和要求应满足相关法律、</w:t>
      </w:r>
      <w:r>
        <w:rPr>
          <w:rFonts w:ascii="FangSong_GB2312" w:hAnsi="FangSong_GB2312" w:eastAsia="FangSong_GB2312" w:cs="FangSong_GB2312"/>
          <w:spacing w:val="-10"/>
          <w:sz w:val="22"/>
          <w:szCs w:val="22"/>
        </w:rPr>
        <w:t>法规和安全技术规范</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的要求。使用无纸化电梯维保记录系统的，其数据在保存过程中不应有任何程度和</w:t>
      </w:r>
      <w:r>
        <w:rPr>
          <w:rFonts w:ascii="FangSong_GB2312" w:hAnsi="FangSong_GB2312" w:eastAsia="FangSong_GB2312" w:cs="FangSong_GB2312"/>
          <w:spacing w:val="-9"/>
          <w:sz w:val="22"/>
          <w:szCs w:val="22"/>
        </w:rPr>
        <w:t>任何形式的更</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改，确保储存数据的公正、客观和安全，并可实时进行查询。甲方认可，无纸化电</w:t>
      </w:r>
      <w:r>
        <w:rPr>
          <w:rFonts w:ascii="FangSong_GB2312" w:hAnsi="FangSong_GB2312" w:eastAsia="FangSong_GB2312" w:cs="FangSong_GB2312"/>
          <w:spacing w:val="-9"/>
          <w:sz w:val="22"/>
          <w:szCs w:val="22"/>
        </w:rPr>
        <w:t>子单据与纸质</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单据同样具有证明乙方履行了维保义务的作用。</w:t>
      </w:r>
    </w:p>
    <w:p w14:paraId="291FA45E">
      <w:pPr>
        <w:spacing w:before="205" w:line="215" w:lineRule="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14.违约责任</w:t>
      </w:r>
    </w:p>
    <w:p w14:paraId="3188C8EB">
      <w:pPr>
        <w:spacing w:before="205"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14.1</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8"/>
          <w:sz w:val="22"/>
          <w:szCs w:val="22"/>
        </w:rPr>
        <w:t>任一方违反本协议中各项约定，守约方有权要求违约方承担相应违约责任；</w:t>
      </w:r>
    </w:p>
    <w:p w14:paraId="57774C48">
      <w:pPr>
        <w:spacing w:before="209" w:line="284" w:lineRule="auto"/>
        <w:ind w:left="25" w:right="160" w:firstLine="440"/>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14.2</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9"/>
          <w:sz w:val="22"/>
          <w:szCs w:val="22"/>
        </w:rPr>
        <w:t>如一方出现违约行为，守约方有权要求违约方赔偿损失，该损失包</w:t>
      </w:r>
      <w:r>
        <w:rPr>
          <w:rFonts w:ascii="FangSong_GB2312" w:hAnsi="FangSong_GB2312" w:eastAsia="FangSong_GB2312" w:cs="FangSong_GB2312"/>
          <w:spacing w:val="-10"/>
          <w:sz w:val="22"/>
          <w:szCs w:val="22"/>
        </w:rPr>
        <w:t>括但不限于对违约后</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8"/>
          <w:sz w:val="22"/>
          <w:szCs w:val="22"/>
        </w:rPr>
        <w:t>果采取补救措施而花费的费用，因违约行为导致第三方提出的索赔要求，以及因此而发生的调查</w:t>
      </w:r>
      <w:r>
        <w:rPr>
          <w:rFonts w:ascii="FangSong_GB2312" w:hAnsi="FangSong_GB2312" w:eastAsia="FangSong_GB2312" w:cs="FangSong_GB2312"/>
          <w:spacing w:val="1"/>
          <w:sz w:val="22"/>
          <w:szCs w:val="22"/>
        </w:rPr>
        <w:t xml:space="preserve"> </w:t>
      </w:r>
      <w:r>
        <w:rPr>
          <w:rFonts w:ascii="FangSong_GB2312" w:hAnsi="FangSong_GB2312" w:eastAsia="FangSong_GB2312" w:cs="FangSong_GB2312"/>
          <w:spacing w:val="-8"/>
          <w:sz w:val="22"/>
          <w:szCs w:val="22"/>
        </w:rPr>
        <w:t>费用、差旅费用、律师费用。</w:t>
      </w:r>
    </w:p>
    <w:p w14:paraId="362A0928">
      <w:pPr>
        <w:spacing w:before="204" w:line="285" w:lineRule="auto"/>
        <w:ind w:left="57" w:right="167" w:firstLine="408"/>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14.3</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6"/>
          <w:sz w:val="22"/>
          <w:szCs w:val="22"/>
        </w:rPr>
        <w:t>其他违约责任：如果一方违约，违约方需</w:t>
      </w:r>
      <w:r>
        <w:rPr>
          <w:rFonts w:ascii="FangSong_GB2312" w:hAnsi="FangSong_GB2312" w:eastAsia="FangSong_GB2312" w:cs="FangSong_GB2312"/>
          <w:spacing w:val="-7"/>
          <w:sz w:val="22"/>
          <w:szCs w:val="22"/>
        </w:rPr>
        <w:t>支付守约方总合同金额20%的违约金。违约方</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自逾期之日起，以合同价款为基数，按照每日千分之五的标准支付守约方违约金。如违约金不足</w:t>
      </w:r>
      <w:r>
        <w:rPr>
          <w:rFonts w:ascii="FangSong_GB2312" w:hAnsi="FangSong_GB2312" w:eastAsia="FangSong_GB2312" w:cs="FangSong_GB2312"/>
          <w:spacing w:val="11"/>
          <w:sz w:val="22"/>
          <w:szCs w:val="22"/>
        </w:rPr>
        <w:t xml:space="preserve"> </w:t>
      </w:r>
      <w:r>
        <w:rPr>
          <w:rFonts w:ascii="FangSong_GB2312" w:hAnsi="FangSong_GB2312" w:eastAsia="FangSong_GB2312" w:cs="FangSong_GB2312"/>
          <w:spacing w:val="-9"/>
          <w:sz w:val="22"/>
          <w:szCs w:val="22"/>
        </w:rPr>
        <w:t>以弥补守约方实际金额，则违约方应赔偿守约方所有的实际损失。</w:t>
      </w:r>
    </w:p>
    <w:p w14:paraId="6D215577">
      <w:pPr>
        <w:spacing w:before="71"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4.4</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8"/>
          <w:sz w:val="22"/>
          <w:szCs w:val="22"/>
        </w:rPr>
        <w:t>本合同在不违背法律原则的前提下，本合同双方有权根据实际情况进行二次修改。</w:t>
      </w:r>
    </w:p>
    <w:p w14:paraId="35B39942">
      <w:pPr>
        <w:spacing w:before="205" w:line="214" w:lineRule="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15.纠纷处理</w:t>
      </w:r>
    </w:p>
    <w:p w14:paraId="3306EDAC">
      <w:pPr>
        <w:spacing w:before="205" w:line="214" w:lineRule="auto"/>
        <w:jc w:val="right"/>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本合同在履行过程中发生的争议，由双方当事人协商解决或向有关部门申请</w:t>
      </w:r>
      <w:r>
        <w:rPr>
          <w:rFonts w:ascii="FangSong_GB2312" w:hAnsi="FangSong_GB2312" w:eastAsia="FangSong_GB2312" w:cs="FangSong_GB2312"/>
          <w:spacing w:val="-10"/>
          <w:sz w:val="22"/>
          <w:szCs w:val="22"/>
        </w:rPr>
        <w:t>调解，或起诉。</w:t>
      </w:r>
    </w:p>
    <w:p w14:paraId="6F3B50C8">
      <w:pPr>
        <w:spacing w:before="205" w:line="218" w:lineRule="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16.合同生效</w:t>
      </w:r>
    </w:p>
    <w:p w14:paraId="595CA64B">
      <w:pPr>
        <w:spacing w:before="204" w:line="214" w:lineRule="auto"/>
        <w:ind w:left="451"/>
        <w:rPr>
          <w:rFonts w:ascii="FangSong_GB2312" w:hAnsi="FangSong_GB2312" w:eastAsia="FangSong_GB2312" w:cs="FangSong_GB2312"/>
          <w:sz w:val="22"/>
          <w:szCs w:val="22"/>
        </w:rPr>
      </w:pPr>
      <w:r>
        <w:rPr>
          <w:rFonts w:ascii="FangSong_GB2312" w:hAnsi="FangSong_GB2312" w:eastAsia="FangSong_GB2312" w:cs="FangSong_GB2312"/>
          <w:spacing w:val="-8"/>
          <w:sz w:val="22"/>
          <w:szCs w:val="22"/>
        </w:rPr>
        <w:t>本合同由甲、乙双方代表签字并盖章生效。合同到期并结清所有费用后失效。</w:t>
      </w:r>
    </w:p>
    <w:p w14:paraId="43F4CD7D">
      <w:pPr>
        <w:spacing w:before="206" w:line="214" w:lineRule="auto"/>
        <w:rPr>
          <w:rFonts w:ascii="FangSong_GB2312" w:hAnsi="FangSong_GB2312" w:eastAsia="FangSong_GB2312" w:cs="FangSong_GB2312"/>
          <w:sz w:val="22"/>
          <w:szCs w:val="22"/>
        </w:rPr>
      </w:pPr>
      <w:r>
        <w:rPr>
          <w:rFonts w:ascii="FangSong_GB2312" w:hAnsi="FangSong_GB2312" w:eastAsia="FangSong_GB2312" w:cs="FangSong_GB2312"/>
          <w:b/>
          <w:bCs/>
          <w:spacing w:val="-5"/>
          <w:sz w:val="22"/>
          <w:szCs w:val="22"/>
        </w:rPr>
        <w:t>17.本合同一式</w:t>
      </w:r>
      <w:r>
        <w:rPr>
          <w:rFonts w:ascii="FangSong_GB2312" w:hAnsi="FangSong_GB2312" w:eastAsia="FangSong_GB2312" w:cs="FangSong_GB2312"/>
          <w:spacing w:val="-5"/>
          <w:sz w:val="22"/>
          <w:szCs w:val="22"/>
        </w:rPr>
        <w:t xml:space="preserve"> </w:t>
      </w:r>
      <w:r>
        <w:rPr>
          <w:rFonts w:hint="eastAsia" w:ascii="FangSong_GB2312" w:hAnsi="FangSong_GB2312" w:eastAsia="FangSong_GB2312" w:cs="FangSong_GB2312"/>
          <w:b/>
          <w:bCs/>
          <w:spacing w:val="-5"/>
          <w:sz w:val="22"/>
          <w:szCs w:val="22"/>
          <w:lang w:val="en-US" w:eastAsia="zh-CN"/>
        </w:rPr>
        <w:t>陆</w:t>
      </w:r>
      <w:r>
        <w:rPr>
          <w:rFonts w:ascii="FangSong_GB2312" w:hAnsi="FangSong_GB2312" w:eastAsia="FangSong_GB2312" w:cs="FangSong_GB2312"/>
          <w:spacing w:val="-5"/>
          <w:sz w:val="22"/>
          <w:szCs w:val="22"/>
        </w:rPr>
        <w:t xml:space="preserve"> </w:t>
      </w:r>
      <w:r>
        <w:rPr>
          <w:rFonts w:ascii="FangSong_GB2312" w:hAnsi="FangSong_GB2312" w:eastAsia="FangSong_GB2312" w:cs="FangSong_GB2312"/>
          <w:b/>
          <w:bCs/>
          <w:spacing w:val="-5"/>
          <w:sz w:val="22"/>
          <w:szCs w:val="22"/>
        </w:rPr>
        <w:t>份，甲方执</w:t>
      </w:r>
      <w:r>
        <w:rPr>
          <w:rFonts w:ascii="FangSong_GB2312" w:hAnsi="FangSong_GB2312" w:eastAsia="FangSong_GB2312" w:cs="FangSong_GB2312"/>
          <w:spacing w:val="39"/>
          <w:sz w:val="22"/>
          <w:szCs w:val="22"/>
        </w:rPr>
        <w:t xml:space="preserve"> </w:t>
      </w:r>
      <w:r>
        <w:rPr>
          <w:rFonts w:hint="eastAsia" w:ascii="FangSong_GB2312" w:hAnsi="FangSong_GB2312" w:eastAsia="FangSong_GB2312" w:cs="FangSong_GB2312"/>
          <w:b/>
          <w:bCs/>
          <w:spacing w:val="-5"/>
          <w:sz w:val="22"/>
          <w:szCs w:val="22"/>
          <w:lang w:val="en-US" w:eastAsia="zh-CN"/>
        </w:rPr>
        <w:t>叁</w:t>
      </w:r>
      <w:r>
        <w:rPr>
          <w:rFonts w:ascii="FangSong_GB2312" w:hAnsi="FangSong_GB2312" w:eastAsia="FangSong_GB2312" w:cs="FangSong_GB2312"/>
          <w:spacing w:val="-5"/>
          <w:sz w:val="22"/>
          <w:szCs w:val="22"/>
        </w:rPr>
        <w:t xml:space="preserve"> </w:t>
      </w:r>
      <w:r>
        <w:rPr>
          <w:rFonts w:ascii="FangSong_GB2312" w:hAnsi="FangSong_GB2312" w:eastAsia="FangSong_GB2312" w:cs="FangSong_GB2312"/>
          <w:b/>
          <w:bCs/>
          <w:spacing w:val="-5"/>
          <w:sz w:val="22"/>
          <w:szCs w:val="22"/>
        </w:rPr>
        <w:t>份，乙方执</w:t>
      </w:r>
      <w:r>
        <w:rPr>
          <w:rFonts w:ascii="FangSong_GB2312" w:hAnsi="FangSong_GB2312" w:eastAsia="FangSong_GB2312" w:cs="FangSong_GB2312"/>
          <w:spacing w:val="29"/>
          <w:sz w:val="22"/>
          <w:szCs w:val="22"/>
        </w:rPr>
        <w:t xml:space="preserve"> </w:t>
      </w:r>
      <w:r>
        <w:rPr>
          <w:rFonts w:hint="eastAsia" w:ascii="FangSong_GB2312" w:hAnsi="FangSong_GB2312" w:eastAsia="FangSong_GB2312" w:cs="FangSong_GB2312"/>
          <w:b/>
          <w:bCs/>
          <w:spacing w:val="-5"/>
          <w:sz w:val="22"/>
          <w:szCs w:val="22"/>
          <w:lang w:val="en-US" w:eastAsia="zh-CN"/>
        </w:rPr>
        <w:t>叁</w:t>
      </w:r>
      <w:r>
        <w:rPr>
          <w:rFonts w:ascii="FangSong_GB2312" w:hAnsi="FangSong_GB2312" w:eastAsia="FangSong_GB2312" w:cs="FangSong_GB2312"/>
          <w:spacing w:val="6"/>
          <w:sz w:val="22"/>
          <w:szCs w:val="22"/>
        </w:rPr>
        <w:t xml:space="preserve"> </w:t>
      </w:r>
      <w:r>
        <w:rPr>
          <w:rFonts w:ascii="FangSong_GB2312" w:hAnsi="FangSong_GB2312" w:eastAsia="FangSong_GB2312" w:cs="FangSong_GB2312"/>
          <w:b/>
          <w:bCs/>
          <w:spacing w:val="-5"/>
          <w:sz w:val="22"/>
          <w:szCs w:val="22"/>
        </w:rPr>
        <w:t>份。</w:t>
      </w:r>
    </w:p>
    <w:p w14:paraId="77C915AC">
      <w:pPr>
        <w:spacing w:before="205" w:line="214" w:lineRule="auto"/>
        <w:rPr>
          <w:rFonts w:ascii="FangSong_GB2312" w:hAnsi="FangSong_GB2312" w:eastAsia="FangSong_GB2312" w:cs="FangSong_GB2312"/>
          <w:sz w:val="22"/>
          <w:szCs w:val="22"/>
        </w:rPr>
      </w:pPr>
      <w:r>
        <w:rPr>
          <w:rFonts w:ascii="FangSong_GB2312" w:hAnsi="FangSong_GB2312" w:eastAsia="FangSong_GB2312" w:cs="FangSong_GB2312"/>
          <w:b/>
          <w:bCs/>
          <w:spacing w:val="-4"/>
          <w:sz w:val="22"/>
          <w:szCs w:val="22"/>
        </w:rPr>
        <w:t>18.服务协调信息：</w:t>
      </w:r>
    </w:p>
    <w:p w14:paraId="0249895F">
      <w:pPr>
        <w:spacing w:before="206"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18.1</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10"/>
          <w:sz w:val="22"/>
          <w:szCs w:val="22"/>
        </w:rPr>
        <w:t>甲方联系人及电话：</w:t>
      </w:r>
    </w:p>
    <w:p w14:paraId="2ADD2D29">
      <w:pPr>
        <w:spacing w:before="208" w:line="214" w:lineRule="auto"/>
        <w:ind w:left="451"/>
        <w:rPr>
          <w:rFonts w:ascii="FangSong_GB2312" w:hAnsi="FangSong_GB2312" w:eastAsia="FangSong_GB2312" w:cs="FangSong_GB2312"/>
          <w:sz w:val="22"/>
          <w:szCs w:val="22"/>
        </w:rPr>
      </w:pPr>
      <w:r>
        <w:rPr>
          <w:rFonts w:ascii="FangSong_GB2312" w:hAnsi="FangSong_GB2312" w:eastAsia="FangSong_GB2312" w:cs="FangSong_GB2312"/>
          <w:spacing w:val="-11"/>
          <w:sz w:val="22"/>
          <w:szCs w:val="22"/>
        </w:rPr>
        <w:t>联系部门：</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11"/>
          <w:sz w:val="22"/>
          <w:szCs w:val="22"/>
        </w:rPr>
        <w:t xml:space="preserve"> 联系人：</w:t>
      </w:r>
      <w:r>
        <w:rPr>
          <w:rFonts w:ascii="FangSong_GB2312" w:hAnsi="FangSong_GB2312" w:eastAsia="FangSong_GB2312" w:cs="FangSong_GB2312"/>
          <w:spacing w:val="14"/>
          <w:sz w:val="22"/>
          <w:szCs w:val="22"/>
          <w:u w:val="single" w:color="auto"/>
        </w:rPr>
        <w:t xml:space="preserve">        </w:t>
      </w:r>
      <w:r>
        <w:rPr>
          <w:rFonts w:ascii="FangSong_GB2312" w:hAnsi="FangSong_GB2312" w:eastAsia="FangSong_GB2312" w:cs="FangSong_GB2312"/>
          <w:spacing w:val="-74"/>
          <w:sz w:val="22"/>
          <w:szCs w:val="22"/>
        </w:rPr>
        <w:t xml:space="preserve"> </w:t>
      </w:r>
      <w:r>
        <w:rPr>
          <w:rFonts w:ascii="FangSong_GB2312" w:hAnsi="FangSong_GB2312" w:eastAsia="FangSong_GB2312" w:cs="FangSong_GB2312"/>
          <w:spacing w:val="-11"/>
          <w:sz w:val="22"/>
          <w:szCs w:val="22"/>
        </w:rPr>
        <w:t>电话：</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11"/>
          <w:sz w:val="22"/>
          <w:szCs w:val="22"/>
        </w:rPr>
        <w:t xml:space="preserve">  传真：</w:t>
      </w:r>
      <w:r>
        <w:rPr>
          <w:rFonts w:ascii="FangSong_GB2312" w:hAnsi="FangSong_GB2312" w:eastAsia="FangSong_GB2312" w:cs="FangSong_GB2312"/>
          <w:sz w:val="22"/>
          <w:szCs w:val="22"/>
          <w:u w:val="single" w:color="auto"/>
        </w:rPr>
        <w:t xml:space="preserve">         </w:t>
      </w:r>
    </w:p>
    <w:p w14:paraId="04361275">
      <w:pPr>
        <w:spacing w:before="206" w:line="214" w:lineRule="auto"/>
        <w:ind w:left="561"/>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邮箱：</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93"/>
          <w:sz w:val="22"/>
          <w:szCs w:val="22"/>
        </w:rPr>
        <w:t xml:space="preserve"> </w:t>
      </w:r>
      <w:r>
        <w:rPr>
          <w:rFonts w:ascii="FangSong_GB2312" w:hAnsi="FangSong_GB2312" w:eastAsia="FangSong_GB2312" w:cs="FangSong_GB2312"/>
          <w:spacing w:val="-10"/>
          <w:sz w:val="22"/>
          <w:szCs w:val="22"/>
        </w:rPr>
        <w:t>维保记录签字确认人（电梯安全管理人员</w:t>
      </w:r>
      <w:r>
        <w:rPr>
          <w:rFonts w:ascii="FangSong_GB2312" w:hAnsi="FangSong_GB2312" w:eastAsia="FangSong_GB2312" w:cs="FangSong_GB2312"/>
          <w:spacing w:val="-5"/>
          <w:sz w:val="22"/>
          <w:szCs w:val="22"/>
        </w:rPr>
        <w:t>）：</w:t>
      </w:r>
      <w:r>
        <w:rPr>
          <w:rFonts w:ascii="FangSong_GB2312" w:hAnsi="FangSong_GB2312" w:eastAsia="FangSong_GB2312" w:cs="FangSong_GB2312"/>
          <w:sz w:val="22"/>
          <w:szCs w:val="22"/>
          <w:u w:val="single" w:color="auto"/>
        </w:rPr>
        <w:t xml:space="preserve">         </w:t>
      </w:r>
    </w:p>
    <w:p w14:paraId="34A20760">
      <w:pPr>
        <w:spacing w:before="208" w:line="214" w:lineRule="auto"/>
        <w:ind w:left="465"/>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18.2</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10"/>
          <w:sz w:val="22"/>
          <w:szCs w:val="22"/>
        </w:rPr>
        <w:t>乙方服务电话：</w:t>
      </w:r>
    </w:p>
    <w:p w14:paraId="74D3D66C">
      <w:pPr>
        <w:spacing w:before="205" w:line="214" w:lineRule="auto"/>
        <w:ind w:left="451"/>
        <w:rPr>
          <w:rFonts w:ascii="FangSong_GB2312" w:hAnsi="FangSong_GB2312" w:eastAsia="FangSong_GB2312" w:cs="FangSong_GB2312"/>
          <w:sz w:val="22"/>
          <w:szCs w:val="22"/>
        </w:rPr>
      </w:pPr>
      <w:r>
        <w:rPr>
          <w:rFonts w:ascii="FangSong_GB2312" w:hAnsi="FangSong_GB2312" w:eastAsia="FangSong_GB2312" w:cs="FangSong_GB2312"/>
          <w:spacing w:val="-12"/>
          <w:sz w:val="22"/>
          <w:szCs w:val="22"/>
        </w:rPr>
        <w:t>联系部门：</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93"/>
          <w:sz w:val="22"/>
          <w:szCs w:val="22"/>
        </w:rPr>
        <w:t xml:space="preserve"> </w:t>
      </w:r>
      <w:r>
        <w:rPr>
          <w:rFonts w:ascii="FangSong_GB2312" w:hAnsi="FangSong_GB2312" w:eastAsia="FangSong_GB2312" w:cs="FangSong_GB2312"/>
          <w:spacing w:val="-12"/>
          <w:sz w:val="22"/>
          <w:szCs w:val="22"/>
        </w:rPr>
        <w:t>联系人：</w:t>
      </w:r>
      <w:r>
        <w:rPr>
          <w:rFonts w:ascii="FangSong_GB2312" w:hAnsi="FangSong_GB2312" w:eastAsia="FangSong_GB2312" w:cs="FangSong_GB2312"/>
          <w:spacing w:val="13"/>
          <w:sz w:val="22"/>
          <w:szCs w:val="22"/>
          <w:u w:val="single" w:color="auto"/>
        </w:rPr>
        <w:t xml:space="preserve">        </w:t>
      </w:r>
      <w:r>
        <w:rPr>
          <w:rFonts w:ascii="FangSong_GB2312" w:hAnsi="FangSong_GB2312" w:eastAsia="FangSong_GB2312" w:cs="FangSong_GB2312"/>
          <w:spacing w:val="-71"/>
          <w:sz w:val="22"/>
          <w:szCs w:val="22"/>
        </w:rPr>
        <w:t xml:space="preserve"> </w:t>
      </w:r>
      <w:r>
        <w:rPr>
          <w:rFonts w:ascii="FangSong_GB2312" w:hAnsi="FangSong_GB2312" w:eastAsia="FangSong_GB2312" w:cs="FangSong_GB2312"/>
          <w:spacing w:val="-12"/>
          <w:sz w:val="22"/>
          <w:szCs w:val="22"/>
        </w:rPr>
        <w:t>电话：</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12"/>
          <w:sz w:val="22"/>
          <w:szCs w:val="22"/>
        </w:rPr>
        <w:t xml:space="preserve"> 传真：</w:t>
      </w:r>
      <w:r>
        <w:rPr>
          <w:rFonts w:ascii="FangSong_GB2312" w:hAnsi="FangSong_GB2312" w:eastAsia="FangSong_GB2312" w:cs="FangSong_GB2312"/>
          <w:sz w:val="22"/>
          <w:szCs w:val="22"/>
          <w:u w:val="single" w:color="auto"/>
        </w:rPr>
        <w:t xml:space="preserve">          </w:t>
      </w:r>
    </w:p>
    <w:p w14:paraId="19F2CB93">
      <w:pPr>
        <w:keepNext w:val="0"/>
        <w:keepLines w:val="0"/>
        <w:pageBreakBefore w:val="0"/>
        <w:widowControl w:val="0"/>
        <w:kinsoku/>
        <w:wordWrap/>
        <w:overflowPunct/>
        <w:topLinePunct w:val="0"/>
        <w:autoSpaceDE/>
        <w:autoSpaceDN/>
        <w:bidi w:val="0"/>
        <w:adjustRightInd/>
        <w:snapToGrid w:val="0"/>
        <w:spacing w:line="276" w:lineRule="auto"/>
        <w:ind w:left="0" w:firstLine="588" w:firstLineChars="300"/>
        <w:textAlignment w:val="auto"/>
        <w:rPr>
          <w:rFonts w:ascii="FangSong_GB2312" w:hAnsi="FangSong_GB2312" w:eastAsia="FangSong_GB2312" w:cs="FangSong_GB2312"/>
          <w:sz w:val="22"/>
          <w:szCs w:val="22"/>
          <w:u w:val="single" w:color="auto"/>
        </w:rPr>
      </w:pPr>
      <w:r>
        <w:rPr>
          <w:rFonts w:ascii="FangSong_GB2312" w:hAnsi="FangSong_GB2312" w:eastAsia="FangSong_GB2312" w:cs="FangSong_GB2312"/>
          <w:spacing w:val="-12"/>
          <w:sz w:val="22"/>
          <w:szCs w:val="22"/>
        </w:rPr>
        <w:t>邮箱：</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94"/>
          <w:sz w:val="22"/>
          <w:szCs w:val="22"/>
        </w:rPr>
        <w:t xml:space="preserve"> </w:t>
      </w:r>
      <w:r>
        <w:rPr>
          <w:rFonts w:ascii="FangSong_GB2312" w:hAnsi="FangSong_GB2312" w:eastAsia="FangSong_GB2312" w:cs="FangSong_GB2312"/>
          <w:spacing w:val="-12"/>
          <w:sz w:val="22"/>
          <w:szCs w:val="22"/>
        </w:rPr>
        <w:t>召修电话：</w:t>
      </w:r>
      <w:r>
        <w:rPr>
          <w:rFonts w:ascii="FangSong_GB2312" w:hAnsi="FangSong_GB2312" w:eastAsia="FangSong_GB2312" w:cs="FangSong_GB2312"/>
          <w:sz w:val="22"/>
          <w:szCs w:val="22"/>
          <w:u w:val="single" w:color="auto"/>
        </w:rPr>
        <w:t xml:space="preserve">          </w:t>
      </w:r>
      <w:r>
        <w:rPr>
          <w:rFonts w:ascii="FangSong_GB2312" w:hAnsi="FangSong_GB2312" w:eastAsia="FangSong_GB2312" w:cs="FangSong_GB2312"/>
          <w:spacing w:val="-96"/>
          <w:sz w:val="22"/>
          <w:szCs w:val="22"/>
        </w:rPr>
        <w:t xml:space="preserve"> </w:t>
      </w:r>
      <w:r>
        <w:rPr>
          <w:rFonts w:ascii="FangSong_GB2312" w:hAnsi="FangSong_GB2312" w:eastAsia="FangSong_GB2312" w:cs="FangSong_GB2312"/>
          <w:spacing w:val="-12"/>
          <w:sz w:val="22"/>
          <w:szCs w:val="22"/>
        </w:rPr>
        <w:t>投诉电话：</w:t>
      </w:r>
      <w:r>
        <w:rPr>
          <w:rFonts w:ascii="FangSong_GB2312" w:hAnsi="FangSong_GB2312" w:eastAsia="FangSong_GB2312" w:cs="FangSong_GB2312"/>
          <w:sz w:val="22"/>
          <w:szCs w:val="22"/>
          <w:u w:val="single" w:color="auto"/>
        </w:rPr>
        <w:t xml:space="preserve">          </w:t>
      </w:r>
    </w:p>
    <w:p w14:paraId="028A1D1B">
      <w:pPr>
        <w:rPr>
          <w:rFonts w:ascii="FangSong_GB2312" w:hAnsi="FangSong_GB2312" w:eastAsia="FangSong_GB2312" w:cs="FangSong_GB2312"/>
          <w:sz w:val="22"/>
          <w:szCs w:val="22"/>
          <w:u w:val="single" w:color="auto"/>
        </w:rPr>
      </w:pPr>
      <w:r>
        <w:rPr>
          <w:rFonts w:ascii="FangSong_GB2312" w:hAnsi="FangSong_GB2312" w:eastAsia="FangSong_GB2312" w:cs="FangSong_GB2312"/>
          <w:sz w:val="22"/>
          <w:szCs w:val="22"/>
          <w:u w:val="single" w:color="auto"/>
        </w:rPr>
        <w:br w:type="page"/>
      </w:r>
    </w:p>
    <w:p w14:paraId="39B9DC2B">
      <w:pPr>
        <w:pStyle w:val="30"/>
        <w:spacing w:before="65" w:line="275" w:lineRule="exact"/>
        <w:ind w:left="73"/>
        <w:rPr>
          <w:sz w:val="20"/>
          <w:szCs w:val="20"/>
        </w:rPr>
      </w:pPr>
      <w:r>
        <w:rPr>
          <w:spacing w:val="8"/>
          <w:position w:val="1"/>
          <w:sz w:val="20"/>
          <w:szCs w:val="20"/>
        </w:rPr>
        <w:t>曳引驱动电梯维保服务等级内容及要求见表</w:t>
      </w:r>
      <w:r>
        <w:rPr>
          <w:spacing w:val="-44"/>
          <w:position w:val="1"/>
          <w:sz w:val="20"/>
          <w:szCs w:val="20"/>
        </w:rPr>
        <w:t xml:space="preserve"> </w:t>
      </w:r>
      <w:r>
        <w:rPr>
          <w:rFonts w:ascii="Times New Roman" w:hAnsi="Times New Roman" w:eastAsia="Times New Roman" w:cs="Times New Roman"/>
          <w:spacing w:val="8"/>
          <w:position w:val="1"/>
          <w:sz w:val="20"/>
          <w:szCs w:val="20"/>
        </w:rPr>
        <w:t>A.1</w:t>
      </w:r>
      <w:r>
        <w:rPr>
          <w:spacing w:val="8"/>
          <w:position w:val="1"/>
          <w:sz w:val="20"/>
          <w:szCs w:val="20"/>
        </w:rPr>
        <w:t>。</w:t>
      </w:r>
    </w:p>
    <w:p w14:paraId="2645BA5B">
      <w:pPr>
        <w:spacing w:line="311" w:lineRule="auto"/>
        <w:rPr>
          <w:rFonts w:ascii="Arial"/>
          <w:sz w:val="21"/>
        </w:rPr>
      </w:pPr>
    </w:p>
    <w:p w14:paraId="70C593F4">
      <w:pPr>
        <w:keepNext w:val="0"/>
        <w:keepLines w:val="0"/>
        <w:pageBreakBefore w:val="0"/>
        <w:widowControl w:val="0"/>
        <w:kinsoku/>
        <w:wordWrap/>
        <w:overflowPunct/>
        <w:topLinePunct w:val="0"/>
        <w:autoSpaceDE/>
        <w:autoSpaceDN/>
        <w:bidi w:val="0"/>
        <w:adjustRightInd/>
        <w:snapToGrid w:val="0"/>
        <w:spacing w:line="276" w:lineRule="auto"/>
        <w:ind w:left="0" w:firstLine="420" w:firstLineChars="200"/>
        <w:jc w:val="center"/>
        <w:textAlignment w:val="auto"/>
        <w:rPr>
          <w:rFonts w:ascii="黑体" w:hAnsi="黑体" w:eastAsia="黑体" w:cs="黑体"/>
          <w:spacing w:val="5"/>
          <w:sz w:val="20"/>
          <w:szCs w:val="20"/>
        </w:rPr>
      </w:pPr>
      <w:r>
        <w:rPr>
          <w:rFonts w:ascii="黑体" w:hAnsi="黑体" w:eastAsia="黑体" w:cs="黑体"/>
          <w:spacing w:val="5"/>
          <w:sz w:val="20"/>
          <w:szCs w:val="20"/>
        </w:rPr>
        <w:t>表</w:t>
      </w:r>
      <w:r>
        <w:rPr>
          <w:rFonts w:ascii="黑体" w:hAnsi="黑体" w:eastAsia="黑体" w:cs="黑体"/>
          <w:spacing w:val="-30"/>
          <w:sz w:val="20"/>
          <w:szCs w:val="20"/>
        </w:rPr>
        <w:t xml:space="preserve"> </w:t>
      </w:r>
      <w:r>
        <w:rPr>
          <w:rFonts w:ascii="黑体" w:hAnsi="黑体" w:eastAsia="黑体" w:cs="黑体"/>
          <w:spacing w:val="5"/>
          <w:sz w:val="20"/>
          <w:szCs w:val="20"/>
        </w:rPr>
        <w:t>A.1</w:t>
      </w:r>
      <w:r>
        <w:rPr>
          <w:rFonts w:ascii="黑体" w:hAnsi="黑体" w:eastAsia="黑体" w:cs="黑体"/>
          <w:spacing w:val="35"/>
          <w:sz w:val="20"/>
          <w:szCs w:val="20"/>
        </w:rPr>
        <w:t xml:space="preserve">  </w:t>
      </w:r>
      <w:r>
        <w:rPr>
          <w:rFonts w:ascii="黑体" w:hAnsi="黑体" w:eastAsia="黑体" w:cs="黑体"/>
          <w:spacing w:val="5"/>
          <w:sz w:val="20"/>
          <w:szCs w:val="20"/>
        </w:rPr>
        <w:t>曳引驱动电梯维保服务等级内容及要求</w:t>
      </w:r>
    </w:p>
    <w:tbl>
      <w:tblPr>
        <w:tblStyle w:val="8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5"/>
        <w:gridCol w:w="2896"/>
        <w:gridCol w:w="1137"/>
        <w:gridCol w:w="2738"/>
        <w:gridCol w:w="963"/>
      </w:tblGrid>
      <w:tr w14:paraId="0461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39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D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维保项目</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3EB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重要项</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5E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w:t>
            </w:r>
          </w:p>
        </w:tc>
      </w:tr>
      <w:tr w14:paraId="5A86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9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ED7">
            <w:pPr>
              <w:jc w:val="center"/>
              <w:rPr>
                <w:rFonts w:hint="eastAsia" w:ascii="仿宋" w:hAnsi="仿宋" w:eastAsia="仿宋" w:cs="仿宋"/>
                <w:i w:val="0"/>
                <w:iCs w:val="0"/>
                <w:color w:val="000000"/>
                <w:sz w:val="20"/>
                <w:szCs w:val="20"/>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94B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F9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维保要求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0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频次</w:t>
            </w:r>
          </w:p>
        </w:tc>
      </w:tr>
      <w:tr w14:paraId="17A3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6BD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1.设备机房</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8E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 机房、滑轮间环境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739E">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11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清洁，门窗完好，照明正常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5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4C9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7F87">
            <w:pPr>
              <w:jc w:val="left"/>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C6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机房及设备间温度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E87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B3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7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268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026F">
            <w:pPr>
              <w:jc w:val="left"/>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3D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 机房通道、插座、地面、开口</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5DA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17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4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442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B8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2.驱动设备</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49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手动紧急操作装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7DC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24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齐全，在指定位置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6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1AD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74B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E9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 驱动主机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3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F0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运行时无异常振动和异常声响</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6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10C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FC8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3C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 减速机润滑油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5E0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B5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油量适宜，除蜗杆伸出端外均无渗漏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82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1B3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CD1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F9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 减速机润滑油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9F4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EE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按照制造单位要求适时更换，保证油质符合要求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C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6370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1D8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06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 电动机与减速机 联轴</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0074">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DA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连接无松动，弹性元件外观良好，无老化等现象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0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7AF1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935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42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曳引轮槽、悬挂装置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8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45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清洁，钢丝绳无严重油腻，张力均匀，符合制造单位要求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E8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355F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601F">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31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 驱动轮、导向轮轴承</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4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DF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无异常声响，无振动，润滑良好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52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DB2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75B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F7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 紧急停止开关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074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E5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5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E80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567A">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07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 制动衬</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F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DAD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57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63E8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D6E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84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 制动器各销轴部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7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1A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动作灵活</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E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2B4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F66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15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2.10制动器铁芯(柱塞)</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06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11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进行清洁、润滑、检查，磨损量不超过制造单位要求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B6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620A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69E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EC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2.11制动器动作状态监测装置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6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D1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工作正常，制动器动作可靠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1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0F5C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CC1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30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 制动器间隙</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D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EF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打开时制动衬与制动轮不应发生摩擦，间隙值符合制造单位要求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1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614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1BD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93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  制动器作为轿厢意外移动保护装置制停子系统</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3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EF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制动力人工方式检测符合使用维护说明书要求，制动力自监测系统有记录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A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E9D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B62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BA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2.15编码器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5A38">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4E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清洁，安装牢固，工作正常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3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137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83A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电气控制</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27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主电源开关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C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9C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3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3023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71F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4A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 紧急电动运行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5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2C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40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923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1CB2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CC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 层门和轿门旁路装置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5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05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B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9FB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477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C5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3.4控制柜内各接线端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888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4A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各接线紧固、整齐，线号齐全清晰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0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505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575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31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 控制柜各仪表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309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71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显示正常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F8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B05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3089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69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 控制柜接触器、继电</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C8B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4E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接触良好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A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6F58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B93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1B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 停电应急装置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4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9F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C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E44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9E7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20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 对讲装置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7DE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9A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E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2491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779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5F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 物联网系统</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96EF">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A4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D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59A7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E89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1D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3.10导电回路绝缘性 能测试</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7EBE">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EE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符合标准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30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AB2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DCD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01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3.11上行超速保护</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4F0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D8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E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79DD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59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4.选层器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EF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 选层器动静触点</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142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AC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清洁，无烧蚀</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09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D49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2AE8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5E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 选层器各接线端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97D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8E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18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A32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88E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1F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 选层器钢带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A40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DB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1E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0142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EBD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5.限速器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EF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5.1限速器轮槽与钢丝</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D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EE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清洁，无严重油腻</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A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33C9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BFC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E1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 限速器钢丝绳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F5F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6B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磨损量、断丝数不超过制造单位要求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9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242E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363F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8A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 限速器各销轴部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9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25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润滑，转动灵活；电气开关正常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A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541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CE1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45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 限速器安全钳联</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A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A5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6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49D0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644EFD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6.导轨、导靴</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B4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 轿厢和对重/平衡重的导轨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DF3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18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清洁，压板牢固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B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02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410A3B6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E1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 轿厢和对重/平衡重的导轨支架</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8F7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A9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7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6F94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A89DA7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92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 靴衬、滚轮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4DE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8D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靴衬、滚轮清洁，磨损量不超过制造单位要求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1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5FAB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EEE225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C8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 靴衬、滚轮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DF3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D0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2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4159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85F0B8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7D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 导靴上油杯</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5F54">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51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油杯吸油毛毡齐全，油量适宜，油杯无泄漏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7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D85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F0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 井道端站开关</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E7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 上、下限位开关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13F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17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4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1D9A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F18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51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 上、下强换速开 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F22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0C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6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00DE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9D6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FC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 上、下极限开关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93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59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A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792C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31C862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8.轿厢</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31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  轿顶</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6E5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16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清洁，防护栏安全可靠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7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3988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B7B533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AD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 井道照明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C27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60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F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E02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412EF8A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D7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 轿顶、轿厢架、轿门及附件安装螺栓</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B8D4">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3E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B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ECC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FBA34C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0F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 轿顶轮挡绳装置及防护罩</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789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8F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4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9A2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4B7386E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BA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 轿底各安装螺栓</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7D0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FC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8A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774F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26848B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9E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 轿厢照明、风扇应急照明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48C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3C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DA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11D1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203341FA">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6F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 轿厢内检修开关停止装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097F">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34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4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A8C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04256B9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0E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 轿内报警、对讲装置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D96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D3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7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6EF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4D5F40F">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A8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 轿内显示、指令按钮、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3B8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DD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9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B49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0FDAB29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65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8.10  轿厢称重装置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73F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02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准确有效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0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0065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C1680D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5C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8.11  安全钳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705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E5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0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20B4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024F60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A7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  轿厢平层准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D1B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7E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符合标准值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3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2B5B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4E8AB27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61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8.13  轿顶照明、插座</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AEB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6D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B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7033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6939110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04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  轿顶检修开关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393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9D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ED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A86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F2DD80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93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  轿厢运行噪声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CD9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DB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1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210C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FA6BAD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89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  轿厢运行舒适</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314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9C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A620">
            <w:pPr>
              <w:jc w:val="center"/>
              <w:rPr>
                <w:rFonts w:hint="eastAsia" w:ascii="仿宋" w:hAnsi="仿宋" w:eastAsia="仿宋" w:cs="仿宋"/>
                <w:i w:val="0"/>
                <w:iCs w:val="0"/>
                <w:color w:val="000000"/>
                <w:sz w:val="20"/>
                <w:szCs w:val="20"/>
                <w:u w:val="none"/>
              </w:rPr>
            </w:pPr>
          </w:p>
        </w:tc>
      </w:tr>
      <w:tr w14:paraId="7919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1509C57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D7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8.17  轿厢意外移动保护装置动作试验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913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75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4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5D62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300C3916">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AF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  超载功能</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B98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E1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F2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0BB2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D2F0B9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DA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8.19 空载曳引力试 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0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B9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0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0906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2B5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9.轿门、层门</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83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 轿门防撞击保护装置（安全触板 、光 幕 、光）</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943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52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1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E03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7E73">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4C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 轿门门锁电气触</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5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42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清洁，触点接触良好，接线可靠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8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2FE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E55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A2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 轿门开门限制装置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DD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E2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5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2AF2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EAC0">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2E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  门刀装置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0C10">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E3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5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D94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6881">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9F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 轿门运行</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B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08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开启和关闭工作正常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BF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30C0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E54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9E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 验证轿门关闭的</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7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6A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9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3F89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872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81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 层门装置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BA2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81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无影响正常使用的变形，各安装螺栓紧固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E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B67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19D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ED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 地坎</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009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77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清洁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1E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28CD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CC77">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00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 层门自动关门装</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B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65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3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76F0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46E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01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  层门门锁自动复位</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4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85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用层门钥匙打开手动开锁装置释放后，层门门锁能自动复位</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6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56A6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32F1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B5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  层门门锁电</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2A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B0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清洁，触点接触良好，接线可靠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D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65D8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181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85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  层门锁紧元</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62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27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不小于 7mm</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36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60C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04E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D7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9.13  层门门导靴</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8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97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磨损量不超过制造单位要求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8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5526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72352">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CE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 14 层门轿门门扇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43E6">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27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门扇各相关间隙符合标准值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C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520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9E1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77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9.15 层门轿门系统中传动钢丝绳、链条、传动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EE7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62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按照制造单位要求进行清洁、调整</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11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2071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CBDD">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39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9.16 紧急开锁装置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041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6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7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0DF0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C5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10.对重</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3D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 对重/平衡重块</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4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B6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对重/平衡重块无松动，压板紧固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EC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49B7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nil"/>
              <w:right w:val="single" w:color="000000" w:sz="4" w:space="0"/>
            </w:tcBorders>
            <w:shd w:val="clear" w:color="auto" w:fill="auto"/>
            <w:vAlign w:val="center"/>
          </w:tcPr>
          <w:p w14:paraId="3B9FF2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11.轮</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17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 井道对重、轿顶各反 绳轮轴承部件</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DBA4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9B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无异常声响，无振动，润滑良好</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8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4339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nil"/>
              <w:right w:val="single" w:color="000000" w:sz="4" w:space="0"/>
            </w:tcBorders>
            <w:shd w:val="clear" w:color="auto" w:fill="auto"/>
            <w:vAlign w:val="center"/>
          </w:tcPr>
          <w:p w14:paraId="7917661E">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4A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 对重轮挡绳装置及防护罩</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5658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76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9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1CB4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76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12.悬挂、补偿设备</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0D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 悬挂钢丝绳、补偿绳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681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DA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损量、断丝数不超过要求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BE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50A7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979C">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EA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 补偿链</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9719">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80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B4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34C2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8E26A">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A4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 绳头组合</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F041">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4E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螺母无松动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77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半年</w:t>
            </w:r>
          </w:p>
        </w:tc>
      </w:tr>
      <w:tr w14:paraId="3548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18B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AF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 补偿链( 绳) 与轿厢、对重接合处</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DE95">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03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6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5AD3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53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 电缆</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2F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 随行电缆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395B">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6F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无损伤</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6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1E18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478B">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EB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 井道电缆</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B3F3">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41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4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42F2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05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14.井道底坑</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73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 底坑停止装置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E61D">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DE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4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r w14:paraId="0062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97A5">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63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 涨紧轮装置</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81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BA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2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1699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63A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90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 缓冲器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3F6A">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3B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固定，无松动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D1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p>
        </w:tc>
      </w:tr>
      <w:tr w14:paraId="3AEE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A2C9">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4A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 耗能性缓冲器</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5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3E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电气安全装置功能有效，油量适宜，柱塞无锈蚀</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5C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0179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A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层 门 外 操作、显示</w:t>
            </w: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FE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 消防开关</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E11C">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33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工作正常，功能有效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D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季度</w:t>
            </w:r>
          </w:p>
        </w:tc>
      </w:tr>
      <w:tr w14:paraId="457F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5E74">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4D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 层门外到站提示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0252">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23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8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34DB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8548">
            <w:pPr>
              <w:jc w:val="center"/>
              <w:rPr>
                <w:rFonts w:hint="eastAsia" w:ascii="仿宋" w:hAnsi="仿宋" w:eastAsia="仿宋" w:cs="仿宋"/>
                <w:i w:val="0"/>
                <w:iCs w:val="0"/>
                <w:color w:val="000000"/>
                <w:sz w:val="20"/>
                <w:szCs w:val="20"/>
                <w:u w:val="none"/>
              </w:rPr>
            </w:pPr>
          </w:p>
        </w:tc>
        <w:tc>
          <w:tcPr>
            <w:tcW w:w="1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C0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 层站召唤，楼层显示</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8FD7">
            <w:pPr>
              <w:jc w:val="center"/>
              <w:rPr>
                <w:rFonts w:hint="eastAsia" w:ascii="仿宋" w:hAnsi="仿宋" w:eastAsia="仿宋" w:cs="仿宋"/>
                <w:i w:val="0"/>
                <w:iCs w:val="0"/>
                <w:color w:val="000000"/>
                <w:sz w:val="20"/>
                <w:szCs w:val="20"/>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92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齐全，有效</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9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半月</w:t>
            </w:r>
          </w:p>
        </w:tc>
      </w:tr>
    </w:tbl>
    <w:p w14:paraId="55B5643A">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spacing w:val="-2"/>
        </w:rPr>
      </w:pPr>
    </w:p>
    <w:p w14:paraId="1D750BA0">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pPr>
      <w:r>
        <w:rPr>
          <w:spacing w:val="-2"/>
        </w:rPr>
        <w:t>★1.技术要求</w:t>
      </w:r>
    </w:p>
    <w:p w14:paraId="03BAAC6D">
      <w:pPr>
        <w:keepNext w:val="0"/>
        <w:keepLines w:val="0"/>
        <w:pageBreakBefore w:val="0"/>
        <w:widowControl w:val="0"/>
        <w:kinsoku/>
        <w:wordWrap/>
        <w:overflowPunct/>
        <w:topLinePunct w:val="0"/>
        <w:autoSpaceDE/>
        <w:autoSpaceDN/>
        <w:bidi w:val="0"/>
        <w:adjustRightInd/>
        <w:spacing w:line="360" w:lineRule="auto"/>
        <w:ind w:left="0" w:right="0" w:firstLine="420" w:firstLineChars="200"/>
        <w:jc w:val="left"/>
        <w:textAlignment w:val="auto"/>
        <w:rPr>
          <w:rFonts w:ascii="Arial"/>
          <w:sz w:val="21"/>
        </w:rPr>
      </w:pPr>
    </w:p>
    <w:p w14:paraId="19E562BE">
      <w:pPr>
        <w:pStyle w:val="30"/>
        <w:keepNext w:val="0"/>
        <w:keepLines w:val="0"/>
        <w:pageBreakBefore w:val="0"/>
        <w:widowControl w:val="0"/>
        <w:kinsoku/>
        <w:wordWrap/>
        <w:overflowPunct/>
        <w:topLinePunct w:val="0"/>
        <w:autoSpaceDE/>
        <w:autoSpaceDN/>
        <w:bidi w:val="0"/>
        <w:adjustRightInd/>
        <w:spacing w:after="0" w:line="360" w:lineRule="auto"/>
        <w:ind w:left="0" w:right="0" w:firstLine="416" w:firstLineChars="200"/>
        <w:jc w:val="left"/>
        <w:textAlignment w:val="auto"/>
      </w:pPr>
      <w:r>
        <w:rPr>
          <w:spacing w:val="-1"/>
        </w:rPr>
        <w:t>1.1</w:t>
      </w:r>
      <w:r>
        <w:rPr>
          <w:spacing w:val="-51"/>
        </w:rPr>
        <w:t xml:space="preserve"> </w:t>
      </w:r>
      <w:r>
        <w:rPr>
          <w:spacing w:val="-1"/>
        </w:rPr>
        <w:t>根据国家、行业有关规定和规范，建立健全电梯管理制度，并认真执行</w:t>
      </w:r>
      <w:r>
        <w:rPr>
          <w:spacing w:val="-2"/>
        </w:rPr>
        <w:t>。建</w:t>
      </w:r>
      <w:r>
        <w:t xml:space="preserve"> 立电梯运行管理、设备维护、安全管理等制度，做</w:t>
      </w:r>
      <w:r>
        <w:rPr>
          <w:spacing w:val="-1"/>
        </w:rPr>
        <w:t>好一梯一档的档案管理。</w:t>
      </w:r>
    </w:p>
    <w:p w14:paraId="05926600">
      <w:pPr>
        <w:pStyle w:val="30"/>
        <w:keepNext w:val="0"/>
        <w:keepLines w:val="0"/>
        <w:pageBreakBefore w:val="0"/>
        <w:widowControl w:val="0"/>
        <w:kinsoku/>
        <w:wordWrap/>
        <w:overflowPunct/>
        <w:topLinePunct w:val="0"/>
        <w:autoSpaceDE/>
        <w:autoSpaceDN/>
        <w:bidi w:val="0"/>
        <w:adjustRightInd/>
        <w:spacing w:after="0" w:line="360" w:lineRule="auto"/>
        <w:ind w:left="0" w:right="0" w:firstLine="400" w:firstLineChars="200"/>
        <w:jc w:val="left"/>
        <w:textAlignment w:val="auto"/>
      </w:pPr>
      <w:r>
        <w:rPr>
          <w:spacing w:val="-5"/>
        </w:rPr>
        <w:t>1.2</w:t>
      </w:r>
      <w:r>
        <w:rPr>
          <w:spacing w:val="-39"/>
        </w:rPr>
        <w:t xml:space="preserve"> </w:t>
      </w:r>
      <w:r>
        <w:rPr>
          <w:spacing w:val="-5"/>
        </w:rPr>
        <w:t>严格执行国家有关电梯管理规定和安全规程，做到电梯准用证、年检合格证、</w:t>
      </w:r>
      <w:r>
        <w:t xml:space="preserve"> </w:t>
      </w:r>
      <w:r>
        <w:rPr>
          <w:spacing w:val="-2"/>
        </w:rPr>
        <w:t>维保合同完备。</w:t>
      </w:r>
    </w:p>
    <w:p w14:paraId="15594DEB">
      <w:pPr>
        <w:pStyle w:val="30"/>
        <w:keepNext w:val="0"/>
        <w:keepLines w:val="0"/>
        <w:pageBreakBefore w:val="0"/>
        <w:widowControl w:val="0"/>
        <w:kinsoku/>
        <w:wordWrap/>
        <w:overflowPunct/>
        <w:topLinePunct w:val="0"/>
        <w:autoSpaceDE/>
        <w:autoSpaceDN/>
        <w:bidi w:val="0"/>
        <w:adjustRightInd/>
        <w:spacing w:after="0" w:line="360" w:lineRule="auto"/>
        <w:ind w:left="0" w:right="0" w:firstLine="400" w:firstLineChars="200"/>
        <w:jc w:val="left"/>
        <w:textAlignment w:val="auto"/>
        <w:rPr>
          <w:rFonts w:ascii="Arial"/>
          <w:sz w:val="21"/>
        </w:rPr>
      </w:pPr>
      <w:r>
        <w:rPr>
          <w:spacing w:val="-5"/>
        </w:rPr>
        <w:t>1.3</w:t>
      </w:r>
      <w:r>
        <w:rPr>
          <w:spacing w:val="-50"/>
        </w:rPr>
        <w:t xml:space="preserve"> </w:t>
      </w:r>
      <w:r>
        <w:rPr>
          <w:spacing w:val="-5"/>
        </w:rPr>
        <w:t>若发生下列情况，结算时扣除全部设备维保服务费的</w:t>
      </w:r>
      <w:r>
        <w:rPr>
          <w:spacing w:val="-46"/>
        </w:rPr>
        <w:t xml:space="preserve"> </w:t>
      </w:r>
      <w:r>
        <w:rPr>
          <w:spacing w:val="-5"/>
        </w:rPr>
        <w:t>5%（每发生一次扣</w:t>
      </w:r>
      <w:r>
        <w:rPr>
          <w:spacing w:val="-46"/>
        </w:rPr>
        <w:t xml:space="preserve"> </w:t>
      </w:r>
      <w:r>
        <w:rPr>
          <w:spacing w:val="-5"/>
        </w:rPr>
        <w:t>5%</w:t>
      </w:r>
      <w:r>
        <w:rPr>
          <w:spacing w:val="-64"/>
        </w:rPr>
        <w:t>）：</w:t>
      </w:r>
    </w:p>
    <w:p w14:paraId="74A2E91E">
      <w:pPr>
        <w:pStyle w:val="30"/>
        <w:keepNext w:val="0"/>
        <w:keepLines w:val="0"/>
        <w:pageBreakBefore w:val="0"/>
        <w:widowControl w:val="0"/>
        <w:kinsoku/>
        <w:wordWrap/>
        <w:overflowPunct/>
        <w:topLinePunct w:val="0"/>
        <w:autoSpaceDE/>
        <w:autoSpaceDN/>
        <w:bidi w:val="0"/>
        <w:adjustRightInd/>
        <w:spacing w:after="0" w:line="360" w:lineRule="auto"/>
        <w:ind w:left="0" w:right="0" w:firstLine="404" w:firstLineChars="200"/>
        <w:jc w:val="left"/>
        <w:textAlignment w:val="auto"/>
        <w:rPr>
          <w:rFonts w:ascii="Arial"/>
          <w:sz w:val="21"/>
        </w:rPr>
      </w:pPr>
      <w:r>
        <w:rPr>
          <w:spacing w:val="-4"/>
        </w:rPr>
        <w:t>1.3.1</w:t>
      </w:r>
      <w:r>
        <w:rPr>
          <w:spacing w:val="-37"/>
        </w:rPr>
        <w:t xml:space="preserve"> </w:t>
      </w:r>
      <w:r>
        <w:rPr>
          <w:spacing w:val="-4"/>
        </w:rPr>
        <w:t>未完成保养任务；</w:t>
      </w:r>
    </w:p>
    <w:p w14:paraId="0284D56C">
      <w:pPr>
        <w:pStyle w:val="30"/>
        <w:keepNext w:val="0"/>
        <w:keepLines w:val="0"/>
        <w:pageBreakBefore w:val="0"/>
        <w:widowControl w:val="0"/>
        <w:kinsoku/>
        <w:wordWrap/>
        <w:overflowPunct/>
        <w:topLinePunct w:val="0"/>
        <w:autoSpaceDE/>
        <w:autoSpaceDN/>
        <w:bidi w:val="0"/>
        <w:adjustRightInd/>
        <w:spacing w:after="0" w:line="360" w:lineRule="auto"/>
        <w:ind w:left="0" w:right="0" w:firstLine="408" w:firstLineChars="200"/>
        <w:jc w:val="left"/>
        <w:textAlignment w:val="auto"/>
      </w:pPr>
      <w:r>
        <w:rPr>
          <w:spacing w:val="-3"/>
        </w:rPr>
        <w:t>1.3.2</w:t>
      </w:r>
      <w:r>
        <w:rPr>
          <w:spacing w:val="-20"/>
        </w:rPr>
        <w:t xml:space="preserve"> </w:t>
      </w:r>
      <w:r>
        <w:rPr>
          <w:spacing w:val="-3"/>
        </w:rPr>
        <w:t>电梯故障，未按要求的时间内到达现场；</w:t>
      </w:r>
    </w:p>
    <w:p w14:paraId="5482EC7E">
      <w:pPr>
        <w:pStyle w:val="30"/>
        <w:keepNext w:val="0"/>
        <w:keepLines w:val="0"/>
        <w:pageBreakBefore w:val="0"/>
        <w:widowControl w:val="0"/>
        <w:kinsoku/>
        <w:wordWrap/>
        <w:overflowPunct/>
        <w:topLinePunct w:val="0"/>
        <w:autoSpaceDE/>
        <w:autoSpaceDN/>
        <w:bidi w:val="0"/>
        <w:adjustRightInd/>
        <w:spacing w:after="0" w:line="360" w:lineRule="auto"/>
        <w:ind w:left="0" w:right="0" w:firstLine="408" w:firstLineChars="200"/>
        <w:jc w:val="left"/>
        <w:textAlignment w:val="auto"/>
        <w:rPr>
          <w:rFonts w:ascii="Arial"/>
          <w:sz w:val="21"/>
        </w:rPr>
      </w:pPr>
      <w:r>
        <w:rPr>
          <w:spacing w:val="-3"/>
        </w:rPr>
        <w:t>1.3.3</w:t>
      </w:r>
      <w:r>
        <w:rPr>
          <w:spacing w:val="-8"/>
        </w:rPr>
        <w:t xml:space="preserve"> </w:t>
      </w:r>
      <w:r>
        <w:rPr>
          <w:spacing w:val="-3"/>
        </w:rPr>
        <w:t>电梯非正常运行或因故障连续停止 1 天以上。</w:t>
      </w:r>
    </w:p>
    <w:p w14:paraId="3F6D4359">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rFonts w:ascii="Arial"/>
          <w:sz w:val="21"/>
        </w:rPr>
      </w:pPr>
      <w:r>
        <w:rPr>
          <w:spacing w:val="-2"/>
        </w:rPr>
        <w:t>1.4</w:t>
      </w:r>
      <w:r>
        <w:rPr>
          <w:spacing w:val="-43"/>
        </w:rPr>
        <w:t xml:space="preserve"> </w:t>
      </w:r>
      <w:r>
        <w:rPr>
          <w:spacing w:val="-2"/>
        </w:rPr>
        <w:t>在服务期间内负责电梯软件升级和调试工作。</w:t>
      </w:r>
    </w:p>
    <w:p w14:paraId="59BD77F6">
      <w:pPr>
        <w:pStyle w:val="30"/>
        <w:keepNext w:val="0"/>
        <w:keepLines w:val="0"/>
        <w:pageBreakBefore w:val="0"/>
        <w:widowControl w:val="0"/>
        <w:kinsoku/>
        <w:wordWrap/>
        <w:overflowPunct/>
        <w:topLinePunct w:val="0"/>
        <w:autoSpaceDE/>
        <w:autoSpaceDN/>
        <w:bidi w:val="0"/>
        <w:adjustRightInd/>
        <w:spacing w:after="0" w:line="360" w:lineRule="auto"/>
        <w:ind w:left="0" w:right="0" w:firstLine="416" w:firstLineChars="200"/>
        <w:jc w:val="left"/>
        <w:textAlignment w:val="auto"/>
      </w:pPr>
      <w:r>
        <w:rPr>
          <w:spacing w:val="-1"/>
        </w:rPr>
        <w:t>1.5</w:t>
      </w:r>
      <w:r>
        <w:rPr>
          <w:spacing w:val="-47"/>
        </w:rPr>
        <w:t xml:space="preserve"> </w:t>
      </w:r>
      <w:r>
        <w:rPr>
          <w:spacing w:val="-1"/>
        </w:rPr>
        <w:t>维保人员保险等一切其他费用由成交供应商自行负责购买，我</w:t>
      </w:r>
      <w:r>
        <w:rPr>
          <w:spacing w:val="-2"/>
        </w:rPr>
        <w:t>单位不再支付除电梯维护保养费、限速器校验费、砝码租赁费及</w:t>
      </w:r>
      <w:r>
        <w:rPr>
          <w:spacing w:val="-46"/>
        </w:rPr>
        <w:t xml:space="preserve"> </w:t>
      </w:r>
      <w:r>
        <w:rPr>
          <w:spacing w:val="-2"/>
        </w:rPr>
        <w:t>300</w:t>
      </w:r>
      <w:r>
        <w:rPr>
          <w:spacing w:val="-49"/>
        </w:rPr>
        <w:t xml:space="preserve"> </w:t>
      </w:r>
      <w:r>
        <w:rPr>
          <w:spacing w:val="-2"/>
        </w:rPr>
        <w:t>元以上</w:t>
      </w:r>
      <w:r>
        <w:rPr>
          <w:spacing w:val="-3"/>
        </w:rPr>
        <w:t>零部件费用以外的其他</w:t>
      </w:r>
      <w:r>
        <w:t xml:space="preserve"> </w:t>
      </w:r>
      <w:r>
        <w:rPr>
          <w:spacing w:val="-2"/>
        </w:rPr>
        <w:t>任何费用。</w:t>
      </w:r>
    </w:p>
    <w:p w14:paraId="7673D10F">
      <w:pPr>
        <w:pStyle w:val="30"/>
        <w:keepNext w:val="0"/>
        <w:keepLines w:val="0"/>
        <w:pageBreakBefore w:val="0"/>
        <w:widowControl w:val="0"/>
        <w:kinsoku/>
        <w:wordWrap/>
        <w:overflowPunct/>
        <w:topLinePunct w:val="0"/>
        <w:autoSpaceDE/>
        <w:autoSpaceDN/>
        <w:bidi w:val="0"/>
        <w:adjustRightInd/>
        <w:spacing w:after="0" w:line="360" w:lineRule="auto"/>
        <w:ind w:left="0" w:right="0" w:firstLine="416" w:firstLineChars="200"/>
        <w:jc w:val="left"/>
        <w:textAlignment w:val="auto"/>
      </w:pPr>
      <w:r>
        <w:rPr>
          <w:spacing w:val="-1"/>
        </w:rPr>
        <w:t>1.6</w:t>
      </w:r>
      <w:r>
        <w:rPr>
          <w:spacing w:val="-47"/>
        </w:rPr>
        <w:t xml:space="preserve"> </w:t>
      </w:r>
      <w:r>
        <w:rPr>
          <w:spacing w:val="-1"/>
        </w:rPr>
        <w:t>维保专业人员应取得经特种设备安全监督管理部门考核合格的</w:t>
      </w:r>
      <w:r>
        <w:rPr>
          <w:spacing w:val="-2"/>
        </w:rPr>
        <w:t>《特种设备作</w:t>
      </w:r>
      <w:r>
        <w:t xml:space="preserve"> </w:t>
      </w:r>
      <w:r>
        <w:rPr>
          <w:spacing w:val="-1"/>
        </w:rPr>
        <w:t>业人员证》或《特种设备安全管理和作业人员证》。</w:t>
      </w:r>
    </w:p>
    <w:p w14:paraId="2B7251DE">
      <w:pPr>
        <w:pStyle w:val="30"/>
        <w:keepNext w:val="0"/>
        <w:keepLines w:val="0"/>
        <w:pageBreakBefore w:val="0"/>
        <w:widowControl w:val="0"/>
        <w:kinsoku/>
        <w:wordWrap/>
        <w:overflowPunct/>
        <w:topLinePunct w:val="0"/>
        <w:autoSpaceDE/>
        <w:autoSpaceDN/>
        <w:bidi w:val="0"/>
        <w:adjustRightInd/>
        <w:spacing w:after="0" w:line="360" w:lineRule="auto"/>
        <w:ind w:left="0" w:right="0" w:firstLine="416" w:firstLineChars="200"/>
        <w:jc w:val="left"/>
        <w:textAlignment w:val="auto"/>
      </w:pPr>
      <w:r>
        <w:rPr>
          <w:spacing w:val="-1"/>
        </w:rPr>
        <w:t>1.7</w:t>
      </w:r>
      <w:r>
        <w:rPr>
          <w:spacing w:val="-47"/>
        </w:rPr>
        <w:t xml:space="preserve"> </w:t>
      </w:r>
      <w:r>
        <w:rPr>
          <w:spacing w:val="-1"/>
        </w:rPr>
        <w:t>维保现场文明、安全施工，现场树立公示公告牌、警示标志等</w:t>
      </w:r>
      <w:r>
        <w:rPr>
          <w:spacing w:val="-2"/>
        </w:rPr>
        <w:t>，维保人员必</w:t>
      </w:r>
      <w:r>
        <w:t xml:space="preserve"> </w:t>
      </w:r>
      <w:r>
        <w:rPr>
          <w:spacing w:val="-1"/>
        </w:rPr>
        <w:t>须统一着装、佩戴工作牌。安全、人身伤害等事故和由此产生的</w:t>
      </w:r>
      <w:r>
        <w:rPr>
          <w:spacing w:val="-2"/>
        </w:rPr>
        <w:t>法律、经济责任概由</w:t>
      </w:r>
      <w:r>
        <w:t xml:space="preserve"> </w:t>
      </w:r>
      <w:r>
        <w:rPr>
          <w:spacing w:val="-1"/>
        </w:rPr>
        <w:t>成交单位负责。给采购人、第三人造成人身、财产损害均由供应</w:t>
      </w:r>
      <w:r>
        <w:rPr>
          <w:spacing w:val="-2"/>
        </w:rPr>
        <w:t>商承担法律、经济赔</w:t>
      </w:r>
      <w:r>
        <w:t xml:space="preserve"> </w:t>
      </w:r>
      <w:r>
        <w:rPr>
          <w:spacing w:val="-3"/>
        </w:rPr>
        <w:t>偿责任。</w:t>
      </w:r>
    </w:p>
    <w:p w14:paraId="5202A4D2">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rFonts w:ascii="Arial"/>
          <w:sz w:val="21"/>
        </w:rPr>
      </w:pPr>
      <w:r>
        <w:rPr>
          <w:spacing w:val="-2"/>
        </w:rPr>
        <w:t>1.8</w:t>
      </w:r>
      <w:r>
        <w:rPr>
          <w:spacing w:val="-33"/>
        </w:rPr>
        <w:t xml:space="preserve"> </w:t>
      </w:r>
      <w:r>
        <w:rPr>
          <w:spacing w:val="-2"/>
        </w:rPr>
        <w:t>承担所维修电梯发生的非人为因素引起的一切事故责任。</w:t>
      </w:r>
    </w:p>
    <w:p w14:paraId="50A0ADBD">
      <w:pPr>
        <w:pStyle w:val="30"/>
        <w:keepNext w:val="0"/>
        <w:keepLines w:val="0"/>
        <w:pageBreakBefore w:val="0"/>
        <w:widowControl w:val="0"/>
        <w:kinsoku/>
        <w:wordWrap/>
        <w:overflowPunct/>
        <w:topLinePunct w:val="0"/>
        <w:autoSpaceDE/>
        <w:autoSpaceDN/>
        <w:bidi w:val="0"/>
        <w:adjustRightInd/>
        <w:spacing w:after="0" w:line="360" w:lineRule="auto"/>
        <w:ind w:left="0" w:right="0" w:firstLine="416" w:firstLineChars="200"/>
        <w:jc w:val="left"/>
        <w:textAlignment w:val="auto"/>
        <w:rPr>
          <w:rFonts w:ascii="Arial"/>
          <w:sz w:val="21"/>
        </w:rPr>
      </w:pPr>
      <w:r>
        <w:rPr>
          <w:spacing w:val="-1"/>
        </w:rPr>
        <w:t>1.9</w:t>
      </w:r>
      <w:r>
        <w:rPr>
          <w:spacing w:val="-47"/>
        </w:rPr>
        <w:t xml:space="preserve"> </w:t>
      </w:r>
      <w:r>
        <w:rPr>
          <w:spacing w:val="-1"/>
        </w:rPr>
        <w:t>维护保养的周期应根据电梯使用情况、工作环境而定，但只可</w:t>
      </w:r>
      <w:r>
        <w:rPr>
          <w:spacing w:val="-2"/>
        </w:rPr>
        <w:t>增加，不能减</w:t>
      </w:r>
      <w:r>
        <w:rPr>
          <w:spacing w:val="-6"/>
        </w:rPr>
        <w:t>少。</w:t>
      </w:r>
    </w:p>
    <w:p w14:paraId="711A0B5B">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rFonts w:ascii="Arial"/>
          <w:sz w:val="21"/>
        </w:rPr>
      </w:pPr>
      <w:r>
        <w:rPr>
          <w:spacing w:val="-2"/>
        </w:rPr>
        <w:t>1.10</w:t>
      </w:r>
      <w:r>
        <w:rPr>
          <w:spacing w:val="-37"/>
        </w:rPr>
        <w:t xml:space="preserve"> </w:t>
      </w:r>
      <w:r>
        <w:rPr>
          <w:spacing w:val="-2"/>
        </w:rPr>
        <w:t>成交供应商应向我单位提供安全及技术培训服务。</w:t>
      </w:r>
    </w:p>
    <w:p w14:paraId="4E4CC707">
      <w:pPr>
        <w:pStyle w:val="30"/>
        <w:keepNext w:val="0"/>
        <w:keepLines w:val="0"/>
        <w:pageBreakBefore w:val="0"/>
        <w:widowControl w:val="0"/>
        <w:kinsoku/>
        <w:wordWrap/>
        <w:overflowPunct/>
        <w:topLinePunct w:val="0"/>
        <w:autoSpaceDE/>
        <w:autoSpaceDN/>
        <w:bidi w:val="0"/>
        <w:adjustRightInd/>
        <w:spacing w:after="0" w:line="360" w:lineRule="auto"/>
        <w:ind w:left="0" w:right="0" w:firstLine="408" w:firstLineChars="200"/>
        <w:jc w:val="left"/>
        <w:textAlignment w:val="auto"/>
        <w:rPr>
          <w:rFonts w:ascii="Arial"/>
          <w:sz w:val="21"/>
        </w:rPr>
      </w:pPr>
      <w:r>
        <w:rPr>
          <w:spacing w:val="-3"/>
        </w:rPr>
        <w:t>（三）服务要求</w:t>
      </w:r>
    </w:p>
    <w:p w14:paraId="423038FF">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rFonts w:ascii="Arial"/>
          <w:sz w:val="21"/>
        </w:rPr>
      </w:pPr>
      <w:r>
        <w:rPr>
          <w:spacing w:val="-2"/>
        </w:rPr>
        <w:t>1.提供</w:t>
      </w:r>
      <w:r>
        <w:rPr>
          <w:spacing w:val="-45"/>
        </w:rPr>
        <w:t xml:space="preserve"> </w:t>
      </w:r>
      <w:r>
        <w:rPr>
          <w:spacing w:val="-2"/>
        </w:rPr>
        <w:t>365</w:t>
      </w:r>
      <w:r>
        <w:rPr>
          <w:spacing w:val="-45"/>
        </w:rPr>
        <w:t xml:space="preserve"> </w:t>
      </w:r>
      <w:r>
        <w:rPr>
          <w:spacing w:val="-2"/>
        </w:rPr>
        <w:t>天*24</w:t>
      </w:r>
      <w:r>
        <w:rPr>
          <w:spacing w:val="-45"/>
        </w:rPr>
        <w:t xml:space="preserve"> </w:t>
      </w:r>
      <w:r>
        <w:rPr>
          <w:spacing w:val="-2"/>
        </w:rPr>
        <w:t>小时（包括星期六、星期日及所有节假日）应急保障服务。</w:t>
      </w:r>
    </w:p>
    <w:p w14:paraId="1F273EE5">
      <w:pPr>
        <w:pStyle w:val="30"/>
        <w:keepNext w:val="0"/>
        <w:keepLines w:val="0"/>
        <w:pageBreakBefore w:val="0"/>
        <w:widowControl w:val="0"/>
        <w:kinsoku/>
        <w:wordWrap/>
        <w:overflowPunct/>
        <w:topLinePunct w:val="0"/>
        <w:autoSpaceDE/>
        <w:autoSpaceDN/>
        <w:bidi w:val="0"/>
        <w:adjustRightInd/>
        <w:spacing w:after="0" w:line="360" w:lineRule="auto"/>
        <w:ind w:left="0" w:right="0" w:firstLine="412" w:firstLineChars="200"/>
        <w:jc w:val="left"/>
        <w:textAlignment w:val="auto"/>
        <w:rPr>
          <w:rFonts w:ascii="Arial"/>
          <w:sz w:val="21"/>
        </w:rPr>
      </w:pPr>
      <w:r>
        <w:rPr>
          <w:spacing w:val="-2"/>
        </w:rPr>
        <w:t>2.每年进行 1</w:t>
      </w:r>
      <w:r>
        <w:rPr>
          <w:spacing w:val="-34"/>
        </w:rPr>
        <w:t xml:space="preserve"> </w:t>
      </w:r>
      <w:r>
        <w:rPr>
          <w:spacing w:val="-2"/>
        </w:rPr>
        <w:t>次定期检验或者定期试验；</w:t>
      </w:r>
    </w:p>
    <w:p w14:paraId="45B3596C">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jc w:val="left"/>
        <w:textAlignment w:val="auto"/>
        <w:rPr>
          <w:spacing w:val="-2"/>
        </w:rPr>
      </w:pPr>
      <w:r>
        <w:rPr>
          <w:spacing w:val="-1"/>
        </w:rPr>
        <w:t>3.通过有计划的检修、保养，保证电梯各部</w:t>
      </w:r>
      <w:r>
        <w:rPr>
          <w:spacing w:val="-2"/>
        </w:rPr>
        <w:t>件在良性循环状态下运转，延长各部</w:t>
      </w:r>
      <w:r>
        <w:rPr>
          <w:spacing w:val="-1"/>
        </w:rPr>
        <w:t>件的工作寿命，及时更换除曳引主机部件、电梯装饰、规则要求</w:t>
      </w:r>
      <w:r>
        <w:rPr>
          <w:spacing w:val="-2"/>
        </w:rPr>
        <w:t>新增设的安全部件外的其它零部件，保证电梯正常安全顺畅运行。</w:t>
      </w:r>
    </w:p>
    <w:p w14:paraId="09606224">
      <w:pPr>
        <w:pStyle w:val="30"/>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pPr>
      <w:r>
        <w:rPr>
          <w:spacing w:val="-1"/>
        </w:rPr>
        <w:t>4.成交供应商制定例行维护计划表，按照计划日期派员工</w:t>
      </w:r>
      <w:r>
        <w:rPr>
          <w:spacing w:val="-2"/>
        </w:rPr>
        <w:t>对电梯进行半月维保、</w:t>
      </w:r>
      <w:r>
        <w:rPr>
          <w:spacing w:val="-1"/>
        </w:rPr>
        <w:t>季度维保、半年维保、年度维保。保养符合行业安全运行标准</w:t>
      </w:r>
      <w:r>
        <w:rPr>
          <w:spacing w:val="-2"/>
        </w:rPr>
        <w:t>，每次保养完毕后，将</w:t>
      </w:r>
      <w:r>
        <w:rPr>
          <w:spacing w:val="-1"/>
        </w:rPr>
        <w:t>有关维修保养或故障处理的《工作记录单》（含工作照片</w:t>
      </w:r>
      <w:r>
        <w:rPr>
          <w:spacing w:val="-2"/>
        </w:rPr>
        <w:t>）一式贰份，交我方签字确</w:t>
      </w:r>
      <w:r>
        <w:t xml:space="preserve"> </w:t>
      </w:r>
      <w:r>
        <w:rPr>
          <w:spacing w:val="-1"/>
        </w:rPr>
        <w:t>认后各自存档。并配合我单位建立电梯管理档案资料：包括技</w:t>
      </w:r>
      <w:r>
        <w:rPr>
          <w:spacing w:val="-2"/>
        </w:rPr>
        <w:t>术档案（如原理图、接</w:t>
      </w:r>
      <w:r>
        <w:t xml:space="preserve"> </w:t>
      </w:r>
      <w:r>
        <w:rPr>
          <w:spacing w:val="-1"/>
        </w:rPr>
        <w:t>线图等</w:t>
      </w:r>
      <w:r>
        <w:rPr>
          <w:spacing w:val="6"/>
        </w:rPr>
        <w:t>），</w:t>
      </w:r>
      <w:r>
        <w:rPr>
          <w:spacing w:val="-1"/>
        </w:rPr>
        <w:t>维护保养记录，电梯检测资料及其他相关资料。</w:t>
      </w:r>
    </w:p>
    <w:p w14:paraId="5A9E9EC3">
      <w:pPr>
        <w:pStyle w:val="30"/>
        <w:keepNext w:val="0"/>
        <w:keepLines w:val="0"/>
        <w:pageBreakBefore w:val="0"/>
        <w:widowControl w:val="0"/>
        <w:kinsoku/>
        <w:wordWrap/>
        <w:overflowPunct/>
        <w:topLinePunct w:val="0"/>
        <w:autoSpaceDE/>
        <w:autoSpaceDN/>
        <w:bidi w:val="0"/>
        <w:adjustRightInd/>
        <w:snapToGrid/>
        <w:spacing w:line="360" w:lineRule="auto"/>
        <w:ind w:left="0" w:right="0" w:firstLine="396" w:firstLineChars="200"/>
        <w:textAlignment w:val="auto"/>
      </w:pPr>
      <w:r>
        <w:rPr>
          <w:spacing w:val="-6"/>
        </w:rPr>
        <w:t>5.供应商根据我单位实际情况制定《电梯突发事件或事故应急措施与</w:t>
      </w:r>
      <w:r>
        <w:rPr>
          <w:spacing w:val="-7"/>
        </w:rPr>
        <w:t>救援预案》，</w:t>
      </w:r>
      <w:r>
        <w:rPr>
          <w:spacing w:val="-5"/>
        </w:rPr>
        <w:t>每半年组织实施演练</w:t>
      </w:r>
      <w:r>
        <w:rPr>
          <w:spacing w:val="-27"/>
        </w:rPr>
        <w:t xml:space="preserve"> </w:t>
      </w:r>
      <w:r>
        <w:rPr>
          <w:spacing w:val="-5"/>
        </w:rPr>
        <w:t>1</w:t>
      </w:r>
      <w:r>
        <w:rPr>
          <w:spacing w:val="-44"/>
        </w:rPr>
        <w:t xml:space="preserve"> </w:t>
      </w:r>
      <w:r>
        <w:rPr>
          <w:spacing w:val="-5"/>
        </w:rPr>
        <w:t>次。</w:t>
      </w:r>
    </w:p>
    <w:p w14:paraId="0C6DA4BE">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jc w:val="both"/>
        <w:textAlignment w:val="auto"/>
      </w:pPr>
      <w:r>
        <w:rPr>
          <w:spacing w:val="-1"/>
        </w:rPr>
        <w:t>★6.供应商须保证本项目所有电梯年检结果符</w:t>
      </w:r>
      <w:r>
        <w:rPr>
          <w:spacing w:val="-2"/>
        </w:rPr>
        <w:t>合《电梯监督检验和定期检验规则</w:t>
      </w:r>
      <w:r>
        <w:t xml:space="preserve"> --曳引与强制驱动电梯》（TSG</w:t>
      </w:r>
      <w:r>
        <w:rPr>
          <w:spacing w:val="-30"/>
        </w:rPr>
        <w:t xml:space="preserve"> </w:t>
      </w:r>
      <w:r>
        <w:t>T7001-2023）标准</w:t>
      </w:r>
      <w:r>
        <w:rPr>
          <w:spacing w:val="-1"/>
        </w:rPr>
        <w:t>，保证电梯及时通过安全年检。若</w:t>
      </w:r>
      <w:r>
        <w:t xml:space="preserve"> </w:t>
      </w:r>
      <w:r>
        <w:rPr>
          <w:spacing w:val="-2"/>
        </w:rPr>
        <w:t>未通过当地市场监督管理局特种设备检验机构安全年检</w:t>
      </w:r>
      <w:r>
        <w:rPr>
          <w:spacing w:val="-3"/>
        </w:rPr>
        <w:t>，供应商须在</w:t>
      </w:r>
      <w:r>
        <w:rPr>
          <w:spacing w:val="-33"/>
        </w:rPr>
        <w:t xml:space="preserve"> </w:t>
      </w:r>
      <w:r>
        <w:rPr>
          <w:spacing w:val="-3"/>
        </w:rPr>
        <w:t>1</w:t>
      </w:r>
      <w:r>
        <w:rPr>
          <w:spacing w:val="-45"/>
        </w:rPr>
        <w:t xml:space="preserve"> </w:t>
      </w:r>
      <w:r>
        <w:rPr>
          <w:spacing w:val="-3"/>
        </w:rPr>
        <w:t>月内完成整改</w:t>
      </w:r>
      <w:r>
        <w:t xml:space="preserve"> </w:t>
      </w:r>
      <w:r>
        <w:rPr>
          <w:spacing w:val="-2"/>
        </w:rPr>
        <w:t>并重新报检，且承担所有费用。</w:t>
      </w:r>
      <w:r>
        <w:rPr>
          <w:spacing w:val="-55"/>
        </w:rPr>
        <w:t xml:space="preserve"> </w:t>
      </w:r>
      <w:r>
        <w:rPr>
          <w:spacing w:val="-2"/>
        </w:rPr>
        <w:t>(供应商投标时须提供承诺函，格式自拟，并加盖供应商单位公章)</w:t>
      </w:r>
    </w:p>
    <w:p w14:paraId="6FF4C1DA">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rFonts w:ascii="Arial"/>
          <w:sz w:val="21"/>
        </w:rPr>
      </w:pPr>
      <w:r>
        <w:rPr>
          <w:spacing w:val="-1"/>
        </w:rPr>
        <w:t>7.如本项目遇有重大接待任务、会议等情</w:t>
      </w:r>
      <w:r>
        <w:rPr>
          <w:spacing w:val="-2"/>
        </w:rPr>
        <w:t>况，维保单位应提前对电梯进行安全检</w:t>
      </w:r>
      <w:r>
        <w:rPr>
          <w:spacing w:val="-1"/>
        </w:rPr>
        <w:t>查，增派电梯维保人员到现场配合，提供全程监护服务。</w:t>
      </w:r>
    </w:p>
    <w:p w14:paraId="55A309A9">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pPr>
      <w:r>
        <w:rPr>
          <w:spacing w:val="-1"/>
        </w:rPr>
        <w:t>8.服务期间，维保人员应按国家规定做好防护措施，</w:t>
      </w:r>
      <w:r>
        <w:rPr>
          <w:spacing w:val="-2"/>
        </w:rPr>
        <w:t>维保人员人身安全由成交供应商负责。</w:t>
      </w:r>
    </w:p>
    <w:p w14:paraId="7EBB1209">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08" w:firstLineChars="200"/>
        <w:textAlignment w:val="auto"/>
        <w:rPr>
          <w:rFonts w:ascii="Arial"/>
          <w:sz w:val="21"/>
        </w:rPr>
      </w:pPr>
      <w:r>
        <w:rPr>
          <w:spacing w:val="-3"/>
        </w:rPr>
        <w:t>（四）其它要求</w:t>
      </w:r>
    </w:p>
    <w:p w14:paraId="69D3474F">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1.供应商在服务过程中，如损坏(毁)我单位其它设备设施应负责赔偿，因供应商 违规操作损坏(毁)我单位设备设施时，我单位有权终止合同，并追究供应商的法律责 任和经济赔偿，或扣减维保费用。</w:t>
      </w:r>
    </w:p>
    <w:p w14:paraId="000805C6">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2.维修作业要求:不影响我单位的正常工作，做好现场设备设施整理工作，预防安全隐患，有必要的情况下，设置警示牌等。</w:t>
      </w:r>
    </w:p>
    <w:p w14:paraId="1D650A6B">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p>
    <w:p w14:paraId="74908655">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★3.材料要求:按要求供应维修材料，所有材料均为符合国家质检部门及生产厂 商的质量要求的全新货物（材料费说明：维修更换设备、零件等以 300 元为限，300 元以上我单位承担，300 元以下维保公司自行承担；材料费包含备品备件费）。</w:t>
      </w:r>
    </w:p>
    <w:p w14:paraId="001C3FA2">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4.应急维修：保养期间，电梯运行出现故障时，在接到报修通知后，50 小时内到 达现场，进行排除故障工作，直至恢复正常运行（设备零部件损坏，需加工或更换者 除外）。</w:t>
      </w:r>
    </w:p>
    <w:p w14:paraId="65C930EB">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5.全面检修期间必须有足够数量人员到位，按照我单位要求完成维保任务。因维 保工作不到位造成的不良后果或安全责任事故，一切责任由承包人全部承担。</w:t>
      </w:r>
    </w:p>
    <w:p w14:paraId="083F767D">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6.除我单位另有需求，所有需要的设备及材料均由供应商供应，所有进场材料必 须“三证 ”齐全，经我单位验收合格，并应向我单位提供有资质的检测机构出具的检 验报告。</w:t>
      </w:r>
    </w:p>
    <w:p w14:paraId="45C1EF6E">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8.供应商在投标文件中需根据电梯规范的技术要求结合我单位的具体情况，制定 详细的施工组织计划和操作规程。</w:t>
      </w:r>
    </w:p>
    <w:p w14:paraId="68A9990B">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9.投标费用：比选申请人应承担其在投标过程中所涉及的一切费用。</w:t>
      </w:r>
    </w:p>
    <w:p w14:paraId="4521BDAD">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10.提供完整的年度维保记录资料装订成册存档。</w:t>
      </w:r>
    </w:p>
    <w:p w14:paraId="37FB18B4">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★二、商务要求</w:t>
      </w:r>
    </w:p>
    <w:p w14:paraId="47E37DA9">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rPr>
          <w:spacing w:val="-1"/>
        </w:rPr>
      </w:pPr>
      <w:r>
        <w:rPr>
          <w:spacing w:val="-1"/>
        </w:rPr>
        <w:t>1、服务期限 1 年.</w:t>
      </w:r>
    </w:p>
    <w:p w14:paraId="3C2AEC30">
      <w:pPr>
        <w:pStyle w:val="30"/>
        <w:keepNext w:val="0"/>
        <w:keepLines w:val="0"/>
        <w:pageBreakBefore w:val="0"/>
        <w:widowControl w:val="0"/>
        <w:kinsoku/>
        <w:wordWrap/>
        <w:overflowPunct/>
        <w:topLinePunct w:val="0"/>
        <w:autoSpaceDE/>
        <w:autoSpaceDN/>
        <w:bidi w:val="0"/>
        <w:adjustRightInd/>
        <w:snapToGrid/>
        <w:spacing w:after="0" w:line="360" w:lineRule="auto"/>
        <w:ind w:left="0" w:right="0" w:firstLine="416" w:firstLineChars="200"/>
        <w:textAlignment w:val="auto"/>
      </w:pPr>
      <w:r>
        <w:rPr>
          <w:spacing w:val="-1"/>
        </w:rPr>
        <w:t>2.按合同总额，由我单位对成交供应商每季度的维保服务质量进行考核后，即一年内考核四次，按季度支付。</w:t>
      </w:r>
    </w:p>
    <w:sectPr>
      <w:headerReference r:id="rId29" w:type="default"/>
      <w:footerReference r:id="rId30" w:type="default"/>
      <w:pgSz w:w="11911" w:h="16838"/>
      <w:pgMar w:top="1440" w:right="1418" w:bottom="1440" w:left="1418" w:header="851"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EU-F1">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汉仪大宋简">
    <w:altName w:val="宋体"/>
    <w:panose1 w:val="00000000000000000000"/>
    <w:charset w:val="86"/>
    <w:family w:val="auto"/>
    <w:pitch w:val="default"/>
    <w:sig w:usb0="00000000" w:usb1="00000000" w:usb2="00000012"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28BD">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7438C">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XLXM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tctczICAABlBAAADgAAAAAAAAABACAAAAAfAQAAZHJzL2Uyb0RvYy54bWxQSwUG&#10;AAAAAAYABgBZAQAAwwUAAAAA&#10;">
              <v:fill on="f" focussize="0,0"/>
              <v:stroke on="f" weight="0.5pt"/>
              <v:imagedata o:title=""/>
              <o:lock v:ext="edit" aspectratio="f"/>
              <v:textbox inset="0mm,0mm,0mm,0mm" style="mso-fit-shape-to-text:t;">
                <w:txbxContent>
                  <w:p w14:paraId="6267438C">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7267">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76741">
                          <w:pPr>
                            <w:pStyle w:val="4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LilM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7HbyjRTGHip+/f&#10;Tj9+nX5+JTe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LilMzAgAAZQQAAA4AAAAAAAAAAQAgAAAAHwEAAGRycy9lMm9Eb2MueG1sUEsF&#10;BgAAAAAGAAYAWQEAAMQFAAAAAA==&#10;">
              <v:fill on="f" focussize="0,0"/>
              <v:stroke on="f" weight="0.5pt"/>
              <v:imagedata o:title=""/>
              <o:lock v:ext="edit" aspectratio="f"/>
              <v:textbox inset="0mm,0mm,0mm,0mm" style="mso-fit-shape-to-text:t;">
                <w:txbxContent>
                  <w:p w14:paraId="6CC76741">
                    <w:pPr>
                      <w:pStyle w:val="4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BD0F">
    <w:pPr>
      <w:pStyle w:val="49"/>
      <w:pBdr>
        <w:top w:val="single" w:color="auto" w:sz="4" w:space="1"/>
      </w:pBdr>
      <w:tabs>
        <w:tab w:val="right" w:pos="8306"/>
        <w:tab w:val="clear" w:pos="8305"/>
      </w:tabs>
      <w:wordWrap w:val="0"/>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42C2D">
                          <w:pPr>
                            <w:pStyle w:val="4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YOTU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CSTRT6Pj5x/fz&#10;z9/nX9/IZBIFaqyfIW5rERnad6bF2PT3HpeRd1s6FX/BiMAPrNNVXtEGwuOj6Xg6HcLF4esPwM+e&#10;nlvnw3thFIlGTh36l2Rlx40PXWgfErNps66lTD2UmjQ5vZm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2YOTUzAgAAZQQAAA4AAAAAAAAAAQAgAAAAHwEAAGRycy9lMm9Eb2MueG1sUEsF&#10;BgAAAAAGAAYAWQEAAMQFAAAAAA==&#10;">
              <v:fill on="f" focussize="0,0"/>
              <v:stroke on="f" weight="0.5pt"/>
              <v:imagedata o:title=""/>
              <o:lock v:ext="edit" aspectratio="f"/>
              <v:textbox inset="0mm,0mm,0mm,0mm" style="mso-fit-shape-to-text:t;">
                <w:txbxContent>
                  <w:p w14:paraId="2AB42C2D">
                    <w:pPr>
                      <w:pStyle w:val="4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8675">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12F81">
                          <w:pPr>
                            <w:pStyle w:val="4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Hwno0AgAAZ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B8J6NAIAAGUEAAAOAAAAAAAAAAEAIAAAAB8BAABkcnMvZTJvRG9jLnhtbFBL&#10;BQYAAAAABgAGAFkBAADFBQAAAAA=&#10;">
              <v:fill on="f" focussize="0,0"/>
              <v:stroke on="f" weight="0.5pt"/>
              <v:imagedata o:title=""/>
              <o:lock v:ext="edit" aspectratio="f"/>
              <v:textbox inset="0mm,0mm,0mm,0mm" style="mso-fit-shape-to-text:t;">
                <w:txbxContent>
                  <w:p w14:paraId="30A12F81">
                    <w:pPr>
                      <w:pStyle w:val="49"/>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E55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lpEszAgAAZ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I1JZopdPz0/dvp&#10;x6/Tz69kch0Faq2fIe7BIjJ0b02H4OHe4zLy7iqn4i8YEfgh7/Eir+gC4fHRdDKd5nBx+IYD8LPH&#10;59b58E4YRaJRUIf+JVnZYeNDHzqExGzarBspUw+lJm1Br16/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8lpEszAgAAZQQAAA4AAAAAAAAAAQAgAAAAHwEAAGRycy9lMm9Eb2MueG1sUEsF&#10;BgAAAAAGAAYAWQEAAMQFAAAAAA==&#10;">
              <v:fill on="f" focussize="0,0"/>
              <v:stroke on="f" weight="0.5pt"/>
              <v:imagedata o:title=""/>
              <o:lock v:ext="edit" aspectratio="f"/>
              <v:textbox inset="0mm,0mm,0mm,0mm" style="mso-fit-shape-to-text:t;">
                <w:txbxContent>
                  <w:p w14:paraId="425E5533"/>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0F9D">
    <w:pPr>
      <w:spacing w:line="226" w:lineRule="exact"/>
      <w:ind w:left="44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3B5C">
    <w:pPr>
      <w:pStyle w:val="49"/>
      <w:pBdr>
        <w:top w:val="none" w:color="auto" w:sz="0" w:space="1"/>
      </w:pBdr>
      <w:tabs>
        <w:tab w:val="right" w:pos="8306"/>
        <w:tab w:val="clear" w:pos="8305"/>
      </w:tabs>
      <w:wordWrap w:val="0"/>
      <w:ind w:right="360"/>
    </w:pPr>
    <w:r>
      <mc:AlternateContent>
        <mc:Choice Requires="wps">
          <w:drawing>
            <wp:anchor distT="0" distB="0" distL="114300" distR="114300" simplePos="0" relativeHeight="251670528" behindDoc="0" locked="0" layoutInCell="1" allowOverlap="1">
              <wp:simplePos x="0" y="0"/>
              <wp:positionH relativeFrom="margin">
                <wp:posOffset>2818130</wp:posOffset>
              </wp:positionH>
              <wp:positionV relativeFrom="paragraph">
                <wp:posOffset>-13335</wp:posOffset>
              </wp:positionV>
              <wp:extent cx="335280" cy="161290"/>
              <wp:effectExtent l="0" t="0" r="0" b="0"/>
              <wp:wrapNone/>
              <wp:docPr id="34" name="文本框 1633543589"/>
              <wp:cNvGraphicFramePr/>
              <a:graphic xmlns:a="http://schemas.openxmlformats.org/drawingml/2006/main">
                <a:graphicData uri="http://schemas.microsoft.com/office/word/2010/wordprocessingShape">
                  <wps:wsp>
                    <wps:cNvSpPr txBox="1"/>
                    <wps:spPr>
                      <a:xfrm>
                        <a:off x="0" y="0"/>
                        <a:ext cx="335280" cy="161290"/>
                      </a:xfrm>
                      <a:prstGeom prst="rect">
                        <a:avLst/>
                      </a:prstGeom>
                      <a:noFill/>
                      <a:ln w="6350">
                        <a:noFill/>
                      </a:ln>
                      <a:effectLst/>
                    </wps:spPr>
                    <wps:txbx>
                      <w:txbxContent>
                        <w:p w14:paraId="24F01A9B">
                          <w:pPr>
                            <w:pStyle w:val="4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633543589" o:spid="_x0000_s1026" o:spt="202" type="#_x0000_t202" style="position:absolute;left:0pt;margin-left:221.9pt;margin-top:-1.05pt;height:12.7pt;width:26.4pt;mso-position-horizontal-relative:margin;z-index:251670528;mso-width-relative:page;mso-height-relative:page;" filled="f" stroked="f" coordsize="21600,21600" o:gfxdata="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kamf2QAAAAkBAAAPAAAAAAAAAAEAIAAAACIA&#10;AABkcnMvZG93bnJldi54bWxQSwECFAAUAAAACACHTuJAr+AoakECAABtBAAADgAAAAAAAAABACAA&#10;AAAoAQAAZHJzL2Uyb0RvYy54bWxQSwUGAAAAAAYABgBZAQAA2wUAAAAA&#10;">
              <v:fill on="f" focussize="0,0"/>
              <v:stroke on="f" weight="0.5pt"/>
              <v:imagedata o:title=""/>
              <o:lock v:ext="edit" aspectratio="f"/>
              <v:textbox inset="0mm,0mm,0mm,0mm">
                <w:txbxContent>
                  <w:p w14:paraId="24F01A9B">
                    <w:pPr>
                      <w:pStyle w:val="4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DA0F">
    <w:pPr>
      <w:pStyle w:val="49"/>
      <w:pBdr>
        <w:top w:val="none" w:color="000000" w:sz="0" w:space="1"/>
      </w:pBdr>
      <w:tabs>
        <w:tab w:val="right" w:pos="8400"/>
        <w:tab w:val="clear" w:pos="8305"/>
      </w:tabs>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914C">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67FBB4">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2BNo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HYE2jICAABkBAAADgAAAAAAAAABACAAAAAfAQAAZHJzL2Uyb0RvYy54bWxQSwUG&#10;AAAAAAYABgBZAQAAwwUAAAAA&#10;">
              <v:fill on="f" focussize="0,0"/>
              <v:stroke on="f" weight="0.5pt"/>
              <v:imagedata o:title=""/>
              <o:lock v:ext="edit" aspectratio="f"/>
              <v:textbox inset="0mm,0mm,0mm,0mm" style="mso-fit-shape-to-text:t;">
                <w:txbxContent>
                  <w:p w14:paraId="6F67FBB4">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C82B">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12778A">
                          <w:pPr>
                            <w:pStyle w:val="4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Y0FQy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BjQVDICAABlBAAADgAAAAAAAAABACAAAAAfAQAAZHJzL2Uyb0RvYy54bWxQSwUG&#10;AAAAAAYABgBZAQAAwwUAAAAA&#10;">
              <v:fill on="f" focussize="0,0"/>
              <v:stroke on="f" weight="0.5pt"/>
              <v:imagedata o:title=""/>
              <o:lock v:ext="edit" aspectratio="f"/>
              <v:textbox inset="0mm,0mm,0mm,0mm" style="mso-fit-shape-to-text:t;">
                <w:txbxContent>
                  <w:p w14:paraId="5312778A">
                    <w:pPr>
                      <w:pStyle w:val="4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4D4D">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DBE51">
                          <w:pPr>
                            <w:pStyle w:val="4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EqEc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lBLNFDp+/vH9&#10;/PP3+dc3Mr2K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BKhHNAIAAGUEAAAOAAAAAAAAAAEAIAAAAB8BAABkcnMvZTJvRG9jLnhtbFBL&#10;BQYAAAAABgAGAFkBAADFBQAAAAA=&#10;">
              <v:fill on="f" focussize="0,0"/>
              <v:stroke on="f" weight="0.5pt"/>
              <v:imagedata o:title=""/>
              <o:lock v:ext="edit" aspectratio="f"/>
              <v:textbox inset="0mm,0mm,0mm,0mm" style="mso-fit-shape-to-text:t;">
                <w:txbxContent>
                  <w:p w14:paraId="067DBE51">
                    <w:pPr>
                      <w:pStyle w:val="4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E872">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DC7C2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HKxs0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k9dRoNb6GeIeLCJD99Z0GJvh3uMy8u4qp+IvGBH4Ie/xIq/oAuHx0XQyneZwcfiGA/Cz&#10;x+fW+fBOGEWiUVCH/iVZ2WHjQx86hMRs2qwbKVMPpSZtQa+v3u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khysbNAIAAGUEAAAOAAAAAAAAAAEAIAAAAB8BAABkcnMvZTJvRG9jLnhtbFBL&#10;BQYAAAAABgAGAFkBAADFBQAAAAA=&#10;">
              <v:fill on="f" focussize="0,0"/>
              <v:stroke on="f" weight="0.5pt"/>
              <v:imagedata o:title=""/>
              <o:lock v:ext="edit" aspectratio="f"/>
              <v:textbox inset="0mm,0mm,0mm,0mm" style="mso-fit-shape-to-text:t;">
                <w:txbxContent>
                  <w:p w14:paraId="3EDC7C2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C021">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7D427">
                          <w:pPr>
                            <w:pStyle w:val="4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wJho0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UKKZQsdP37+d&#10;fvw6/fxKJld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cCYaNAIAAGUEAAAOAAAAAAAAAAEAIAAAAB8BAABkcnMvZTJvRG9jLnhtbFBL&#10;BQYAAAAABgAGAFkBAADFBQAAAAA=&#10;">
              <v:fill on="f" focussize="0,0"/>
              <v:stroke on="f" weight="0.5pt"/>
              <v:imagedata o:title=""/>
              <o:lock v:ext="edit" aspectratio="f"/>
              <v:textbox inset="0mm,0mm,0mm,0mm" style="mso-fit-shape-to-text:t;">
                <w:txbxContent>
                  <w:p w14:paraId="4B47D427">
                    <w:pPr>
                      <w:pStyle w:val="4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E2C6">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EA75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2z0zAgAAZ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2z0zAgAAZQQAAA4AAAAAAAAAAQAgAAAAHwEAAGRycy9lMm9Eb2MueG1sUEsF&#10;BgAAAAAGAAYAWQEAAMQFAAAAAA==&#10;">
              <v:fill on="f" focussize="0,0"/>
              <v:stroke on="f" weight="0.5pt"/>
              <v:imagedata o:title=""/>
              <o:lock v:ext="edit" aspectratio="f"/>
              <v:textbox inset="0mm,0mm,0mm,0mm" style="mso-fit-shape-to-text:t;">
                <w:txbxContent>
                  <w:p w14:paraId="5BAEA75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F8B0">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6B19E">
                          <w:pPr>
                            <w:pStyle w:val="4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joy4zAgAAZ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joy4zAgAAZQQAAA4AAAAAAAAAAQAgAAAAHwEAAGRycy9lMm9Eb2MueG1sUEsF&#10;BgAAAAAGAAYAWQEAAMQFAAAAAA==&#10;">
              <v:fill on="f" focussize="0,0"/>
              <v:stroke on="f" weight="0.5pt"/>
              <v:imagedata o:title=""/>
              <o:lock v:ext="edit" aspectratio="f"/>
              <v:textbox inset="0mm,0mm,0mm,0mm" style="mso-fit-shape-to-text:t;">
                <w:txbxContent>
                  <w:p w14:paraId="7CC6B19E">
                    <w:pPr>
                      <w:pStyle w:val="4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2929">
    <w:pPr>
      <w:pStyle w:val="51"/>
      <w:tabs>
        <w:tab w:val="right" w:pos="8306"/>
        <w:tab w:val="clear" w:pos="8305"/>
      </w:tabs>
      <w:ind w:firstLine="450" w:firstLineChars="250"/>
      <w:jc w:val="both"/>
    </w:pPr>
    <w:r>
      <w:rPr>
        <w:rFonts w:hint="eastAsia"/>
        <w:lang w:val="en-US" w:eastAsia="zh-CN"/>
      </w:rPr>
      <w:t>成都农业科技中心</w:t>
    </w:r>
    <w:r>
      <w:rPr>
        <w:rFonts w:hint="eastAsia"/>
      </w:rPr>
      <w:t xml:space="preserve">                                         公开  公平  公正  高效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6A05">
    <w:pPr>
      <w:pStyle w:val="51"/>
      <w:tabs>
        <w:tab w:val="right" w:pos="8306"/>
        <w:tab w:val="clear" w:pos="8305"/>
      </w:tabs>
      <w:ind w:firstLine="450" w:firstLineChars="250"/>
      <w:jc w:val="both"/>
    </w:pPr>
    <w:bookmarkStart w:id="143" w:name="_Hlk515355269"/>
    <w:bookmarkStart w:id="144" w:name="_Hlk515355268"/>
    <w:r>
      <w:rPr>
        <w:rFonts w:hint="eastAsia"/>
        <w:lang w:eastAsia="zh-CN"/>
      </w:rPr>
      <w:t>成都农业科技中心</w:t>
    </w:r>
    <w:r>
      <w:rPr>
        <w:rFonts w:hint="eastAsia"/>
      </w:rPr>
      <w:t xml:space="preserve">                                    公开  公平  公正  高效</w:t>
    </w:r>
    <w:bookmarkEnd w:id="143"/>
    <w:bookmarkEnd w:id="14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D6A">
    <w:pPr>
      <w:pStyle w:val="51"/>
      <w:tabs>
        <w:tab w:val="right" w:pos="8306"/>
        <w:tab w:val="clear" w:pos="8305"/>
      </w:tabs>
    </w:pPr>
    <w:r>
      <w:rPr>
        <w:rFonts w:hint="eastAsia"/>
        <w:lang w:eastAsia="zh-CN"/>
      </w:rPr>
      <w:t>成都农业科技中心</w:t>
    </w:r>
    <w:r>
      <w:rPr>
        <w:rFonts w:hint="eastAsia"/>
      </w:rPr>
      <w:t xml:space="preserve">                                            公开  公平  公正  高效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B3F9">
    <w:pPr>
      <w:pStyle w:val="49"/>
      <w:pBdr>
        <w:top w:val="single" w:color="000000" w:sz="4" w:space="1"/>
      </w:pBdr>
      <w:tabs>
        <w:tab w:val="right" w:pos="7596"/>
        <w:tab w:val="clear" w:pos="8305"/>
      </w:tabs>
      <w:ind w:right="7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083C">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2A96">
    <w:pPr>
      <w:pStyle w:val="51"/>
      <w:tabs>
        <w:tab w:val="right" w:pos="8306"/>
        <w:tab w:val="clear" w:pos="8305"/>
      </w:tabs>
      <w:ind w:firstLine="270" w:firstLineChars="150"/>
      <w:jc w:val="both"/>
    </w:pPr>
    <w:r>
      <w:rPr>
        <w:rFonts w:hint="eastAsia"/>
        <w:lang w:eastAsia="zh-CN"/>
      </w:rPr>
      <w:t>成都农业科技中心</w:t>
    </w:r>
    <w:r>
      <w:rPr>
        <w:rFonts w:hint="eastAsia"/>
      </w:rPr>
      <w:t xml:space="preserve">                                               公开  公平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5838">
    <w:pPr>
      <w:pStyle w:val="49"/>
      <w:pBdr>
        <w:top w:val="single" w:color="000000" w:sz="4" w:space="1"/>
      </w:pBdr>
      <w:tabs>
        <w:tab w:val="right" w:pos="7783"/>
        <w:tab w:val="clear" w:pos="8305"/>
      </w:tabs>
      <w:ind w:righ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F367">
    <w:pPr>
      <w:pStyle w:val="51"/>
      <w:ind w:firstLine="450" w:firstLineChars="250"/>
      <w:jc w:val="both"/>
    </w:pPr>
    <w:r>
      <w:rPr>
        <w:rFonts w:hint="eastAsia"/>
        <w:lang w:val="en-US" w:eastAsia="zh-CN"/>
      </w:rPr>
      <w:t>成都农业科技中心</w:t>
    </w:r>
    <w:r>
      <w:rPr>
        <w:rFonts w:hint="eastAsia"/>
      </w:rPr>
      <w:t xml:space="preserve">                                   公开  公平  公正  高效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A8E">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1309">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C459">
    <w:pPr>
      <w:pStyle w:val="49"/>
      <w:pBdr>
        <w:top w:val="single" w:color="000000" w:sz="4" w:space="1"/>
      </w:pBdr>
      <w:tabs>
        <w:tab w:val="right" w:pos="7596"/>
        <w:tab w:val="clear" w:pos="8305"/>
      </w:tabs>
      <w:ind w:right="7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A690">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D547">
    <w:pPr>
      <w:pStyle w:val="49"/>
      <w:pBdr>
        <w:top w:val="single" w:color="000000" w:sz="4" w:space="1"/>
      </w:pBdr>
      <w:tabs>
        <w:tab w:val="right" w:pos="7596"/>
        <w:tab w:val="clear" w:pos="8305"/>
      </w:tabs>
      <w:ind w:right="7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CBE2">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37"/>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E"/>
    <w:multiLevelType w:val="singleLevel"/>
    <w:tmpl w:val="0000000E"/>
    <w:lvl w:ilvl="0" w:tentative="0">
      <w:start w:val="1"/>
      <w:numFmt w:val="decimal"/>
      <w:suff w:val="nothing"/>
      <w:lvlText w:val="%1、"/>
      <w:lvlJc w:val="left"/>
      <w:pPr>
        <w:ind w:left="0" w:firstLine="0"/>
      </w:pPr>
    </w:lvl>
  </w:abstractNum>
  <w:abstractNum w:abstractNumId="2">
    <w:nsid w:val="00000010"/>
    <w:multiLevelType w:val="multilevel"/>
    <w:tmpl w:val="00000010"/>
    <w:lvl w:ilvl="0" w:tentative="0">
      <w:start w:val="1"/>
      <w:numFmt w:val="decimal"/>
      <w:pStyle w:val="35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4"/>
    <w:multiLevelType w:val="multilevel"/>
    <w:tmpl w:val="00000014"/>
    <w:lvl w:ilvl="0" w:tentative="0">
      <w:start w:val="1"/>
      <w:numFmt w:val="none"/>
      <w:pStyle w:val="21"/>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6"/>
    <w:multiLevelType w:val="multilevel"/>
    <w:tmpl w:val="00000016"/>
    <w:lvl w:ilvl="0" w:tentative="0">
      <w:start w:val="1"/>
      <w:numFmt w:val="decimal"/>
      <w:lvlText w:val="%1"/>
      <w:lvlJc w:val="center"/>
      <w:pPr>
        <w:tabs>
          <w:tab w:val="left" w:pos="735"/>
        </w:tabs>
        <w:ind w:left="735" w:hanging="420"/>
      </w:pPr>
      <w:rPr>
        <w:rFonts w:hint="eastAsia"/>
      </w:rPr>
    </w:lvl>
    <w:lvl w:ilvl="1" w:tentative="0">
      <w:start w:val="1"/>
      <w:numFmt w:val="lowerLetter"/>
      <w:pStyle w:val="255"/>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00000017"/>
    <w:multiLevelType w:val="singleLevel"/>
    <w:tmpl w:val="00000017"/>
    <w:lvl w:ilvl="0" w:tentative="0">
      <w:start w:val="1"/>
      <w:numFmt w:val="decimal"/>
      <w:pStyle w:val="12"/>
      <w:lvlText w:val="%1."/>
      <w:lvlJc w:val="left"/>
      <w:pPr>
        <w:tabs>
          <w:tab w:val="left" w:pos="2040"/>
        </w:tabs>
        <w:ind w:left="2040" w:hanging="360"/>
      </w:pPr>
    </w:lvl>
  </w:abstractNum>
  <w:abstractNum w:abstractNumId="6">
    <w:nsid w:val="0000001B"/>
    <w:multiLevelType w:val="singleLevel"/>
    <w:tmpl w:val="0000001B"/>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26"/>
    <w:multiLevelType w:val="multilevel"/>
    <w:tmpl w:val="00000026"/>
    <w:lvl w:ilvl="0" w:tentative="0">
      <w:start w:val="1"/>
      <w:numFmt w:val="none"/>
      <w:pStyle w:val="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7DA884"/>
    <w:multiLevelType w:val="singleLevel"/>
    <w:tmpl w:val="0F7DA884"/>
    <w:lvl w:ilvl="0" w:tentative="0">
      <w:start w:val="7"/>
      <w:numFmt w:val="chineseCounting"/>
      <w:pStyle w:val="43"/>
      <w:suff w:val="space"/>
      <w:lvlText w:val="第%1章"/>
      <w:lvlJc w:val="left"/>
      <w:rPr>
        <w:rFonts w:hint="eastAsia"/>
      </w:rPr>
    </w:lvl>
  </w:abstractNum>
  <w:abstractNum w:abstractNumId="9">
    <w:nsid w:val="1F51232F"/>
    <w:multiLevelType w:val="multilevel"/>
    <w:tmpl w:val="1F51232F"/>
    <w:lvl w:ilvl="0" w:tentative="0">
      <w:start w:val="1"/>
      <w:numFmt w:val="japaneseCounting"/>
      <w:pStyle w:val="33"/>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F59586A"/>
    <w:multiLevelType w:val="multilevel"/>
    <w:tmpl w:val="1F59586A"/>
    <w:lvl w:ilvl="0" w:tentative="0">
      <w:start w:val="1"/>
      <w:numFmt w:val="lowerLetter"/>
      <w:pStyle w:val="58"/>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B14FDA"/>
    <w:multiLevelType w:val="multilevel"/>
    <w:tmpl w:val="42B14FDA"/>
    <w:lvl w:ilvl="0" w:tentative="0">
      <w:start w:val="1"/>
      <w:numFmt w:val="decimal"/>
      <w:pStyle w:val="29"/>
      <w:suff w:val="space"/>
      <w:lvlText w:val="%1)"/>
      <w:lvlJc w:val="left"/>
      <w:pPr>
        <w:ind w:left="0" w:firstLine="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B09693E"/>
    <w:multiLevelType w:val="singleLevel"/>
    <w:tmpl w:val="5B09693E"/>
    <w:lvl w:ilvl="0" w:tentative="0">
      <w:start w:val="1"/>
      <w:numFmt w:val="chineseCounting"/>
      <w:pStyle w:val="14"/>
      <w:suff w:val="nothing"/>
      <w:lvlText w:val="%1、"/>
      <w:lvlJc w:val="left"/>
      <w:rPr>
        <w:rFonts w:ascii="宋体" w:hAnsi="宋体" w:eastAsia="宋体"/>
        <w:sz w:val="32"/>
        <w:szCs w:val="32"/>
      </w:rPr>
    </w:lvl>
  </w:abstractNum>
  <w:abstractNum w:abstractNumId="13">
    <w:nsid w:val="5C31CF79"/>
    <w:multiLevelType w:val="singleLevel"/>
    <w:tmpl w:val="5C31CF79"/>
    <w:lvl w:ilvl="0" w:tentative="0">
      <w:start w:val="8"/>
      <w:numFmt w:val="decimal"/>
      <w:pStyle w:val="258"/>
      <w:suff w:val="nothing"/>
      <w:lvlText w:val="%1、"/>
      <w:lvlJc w:val="left"/>
    </w:lvl>
  </w:abstractNum>
  <w:abstractNum w:abstractNumId="14">
    <w:nsid w:val="66871524"/>
    <w:multiLevelType w:val="multilevel"/>
    <w:tmpl w:val="66871524"/>
    <w:lvl w:ilvl="0" w:tentative="0">
      <w:start w:val="1"/>
      <w:numFmt w:val="japaneseCounting"/>
      <w:pStyle w:val="4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408822"/>
    <w:multiLevelType w:val="singleLevel"/>
    <w:tmpl w:val="70408822"/>
    <w:lvl w:ilvl="0" w:tentative="0">
      <w:start w:val="1"/>
      <w:numFmt w:val="chineseCounting"/>
      <w:suff w:val="nothing"/>
      <w:lvlText w:val="%1、"/>
      <w:lvlJc w:val="left"/>
      <w:rPr>
        <w:rFonts w:hint="eastAsia"/>
      </w:rPr>
    </w:lvl>
  </w:abstractNum>
  <w:abstractNum w:abstractNumId="16">
    <w:nsid w:val="7212607F"/>
    <w:multiLevelType w:val="multilevel"/>
    <w:tmpl w:val="7212607F"/>
    <w:lvl w:ilvl="0" w:tentative="0">
      <w:start w:val="2"/>
      <w:numFmt w:val="decimal"/>
      <w:pStyle w:val="302"/>
      <w:lvlText w:val="%1."/>
      <w:lvlJc w:val="left"/>
      <w:pPr>
        <w:ind w:left="420" w:hanging="420"/>
      </w:pPr>
      <w:rPr>
        <w:rFonts w:hint="eastAsia"/>
      </w:rPr>
    </w:lvl>
    <w:lvl w:ilvl="1" w:tentative="0">
      <w:start w:val="1"/>
      <w:numFmt w:val="lowerLetter"/>
      <w:pStyle w:val="283"/>
      <w:lvlText w:val="%2)"/>
      <w:lvlJc w:val="left"/>
      <w:pPr>
        <w:ind w:left="840" w:hanging="420"/>
      </w:pPr>
    </w:lvl>
    <w:lvl w:ilvl="2" w:tentative="0">
      <w:start w:val="1"/>
      <w:numFmt w:val="lowerRoman"/>
      <w:pStyle w:val="256"/>
      <w:lvlText w:val="%3."/>
      <w:lvlJc w:val="right"/>
      <w:pPr>
        <w:ind w:left="1260" w:hanging="420"/>
      </w:pPr>
    </w:lvl>
    <w:lvl w:ilvl="3" w:tentative="0">
      <w:start w:val="1"/>
      <w:numFmt w:val="decimal"/>
      <w:pStyle w:val="346"/>
      <w:lvlText w:val="%4."/>
      <w:lvlJc w:val="left"/>
      <w:pPr>
        <w:ind w:left="1680" w:hanging="420"/>
      </w:pPr>
    </w:lvl>
    <w:lvl w:ilvl="4" w:tentative="0">
      <w:start w:val="1"/>
      <w:numFmt w:val="lowerLetter"/>
      <w:pStyle w:val="243"/>
      <w:lvlText w:val="%5)"/>
      <w:lvlJc w:val="left"/>
      <w:pPr>
        <w:ind w:left="2100" w:hanging="420"/>
      </w:pPr>
    </w:lvl>
    <w:lvl w:ilvl="5" w:tentative="0">
      <w:start w:val="1"/>
      <w:numFmt w:val="lowerRoman"/>
      <w:pStyle w:val="242"/>
      <w:lvlText w:val="%6."/>
      <w:lvlJc w:val="right"/>
      <w:pPr>
        <w:ind w:left="2520" w:hanging="420"/>
      </w:pPr>
    </w:lvl>
    <w:lvl w:ilvl="6" w:tentative="0">
      <w:start w:val="1"/>
      <w:numFmt w:val="decimal"/>
      <w:pStyle w:val="254"/>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807B43"/>
    <w:multiLevelType w:val="singleLevel"/>
    <w:tmpl w:val="7C807B43"/>
    <w:lvl w:ilvl="0" w:tentative="0">
      <w:start w:val="1"/>
      <w:numFmt w:val="chineseCounting"/>
      <w:suff w:val="nothing"/>
      <w:lvlText w:val="%1、"/>
      <w:lvlJc w:val="left"/>
      <w:rPr>
        <w:rFonts w:hint="eastAsia"/>
      </w:rPr>
    </w:lvl>
  </w:abstractNum>
  <w:num w:numId="1">
    <w:abstractNumId w:val="17"/>
  </w:num>
  <w:num w:numId="2">
    <w:abstractNumId w:val="5"/>
  </w:num>
  <w:num w:numId="3">
    <w:abstractNumId w:val="12"/>
  </w:num>
  <w:num w:numId="4">
    <w:abstractNumId w:val="7"/>
  </w:num>
  <w:num w:numId="5">
    <w:abstractNumId w:val="3"/>
  </w:num>
  <w:num w:numId="6">
    <w:abstractNumId w:val="11"/>
  </w:num>
  <w:num w:numId="7">
    <w:abstractNumId w:val="9"/>
  </w:num>
  <w:num w:numId="8">
    <w:abstractNumId w:val="0"/>
  </w:num>
  <w:num w:numId="9">
    <w:abstractNumId w:val="14"/>
  </w:num>
  <w:num w:numId="10">
    <w:abstractNumId w:val="8"/>
  </w:num>
  <w:num w:numId="11">
    <w:abstractNumId w:val="10"/>
  </w:num>
  <w:num w:numId="12">
    <w:abstractNumId w:val="1"/>
    <w:lvlOverride w:ilvl="0">
      <w:startOverride w:val="1"/>
    </w:lvlOverride>
  </w:num>
  <w:num w:numId="13">
    <w:abstractNumId w:val="6"/>
  </w:num>
  <w:num w:numId="14">
    <w:abstractNumId w:val="16"/>
  </w:num>
  <w:num w:numId="15">
    <w:abstractNumId w:val="4"/>
  </w:num>
  <w:num w:numId="16">
    <w:abstractNumId w:val="1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gutterAtTop/>
  <w:hideSpellingErrors/>
  <w:doNotTrackMove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TQ4NjdmNmUwMDQzYzg5YTg5NDUxOGIzMGM0M2UifQ=="/>
  </w:docVars>
  <w:rsids>
    <w:rsidRoot w:val="00FA2791"/>
    <w:rsid w:val="0000201E"/>
    <w:rsid w:val="00002513"/>
    <w:rsid w:val="00004A85"/>
    <w:rsid w:val="000164CF"/>
    <w:rsid w:val="000203D6"/>
    <w:rsid w:val="00025798"/>
    <w:rsid w:val="0003319F"/>
    <w:rsid w:val="00034BC0"/>
    <w:rsid w:val="00037393"/>
    <w:rsid w:val="00037C3F"/>
    <w:rsid w:val="0004301C"/>
    <w:rsid w:val="000476BA"/>
    <w:rsid w:val="00054B67"/>
    <w:rsid w:val="000558E3"/>
    <w:rsid w:val="000566C4"/>
    <w:rsid w:val="00056728"/>
    <w:rsid w:val="0006139C"/>
    <w:rsid w:val="000613E9"/>
    <w:rsid w:val="00063DB2"/>
    <w:rsid w:val="00066518"/>
    <w:rsid w:val="00072053"/>
    <w:rsid w:val="000729D6"/>
    <w:rsid w:val="00074A35"/>
    <w:rsid w:val="00075062"/>
    <w:rsid w:val="00076C22"/>
    <w:rsid w:val="00083474"/>
    <w:rsid w:val="00083878"/>
    <w:rsid w:val="00084612"/>
    <w:rsid w:val="00084B6A"/>
    <w:rsid w:val="000856C1"/>
    <w:rsid w:val="00093675"/>
    <w:rsid w:val="00096742"/>
    <w:rsid w:val="0009799E"/>
    <w:rsid w:val="000A7888"/>
    <w:rsid w:val="000B04F9"/>
    <w:rsid w:val="000C2A0E"/>
    <w:rsid w:val="000C358D"/>
    <w:rsid w:val="000D0A68"/>
    <w:rsid w:val="000D2243"/>
    <w:rsid w:val="000E1291"/>
    <w:rsid w:val="000E3B3A"/>
    <w:rsid w:val="00110050"/>
    <w:rsid w:val="001128F6"/>
    <w:rsid w:val="00113FE0"/>
    <w:rsid w:val="00117554"/>
    <w:rsid w:val="00117F4D"/>
    <w:rsid w:val="00121481"/>
    <w:rsid w:val="00121A73"/>
    <w:rsid w:val="00133FB4"/>
    <w:rsid w:val="00134D05"/>
    <w:rsid w:val="00136C86"/>
    <w:rsid w:val="001405E3"/>
    <w:rsid w:val="001407C0"/>
    <w:rsid w:val="00141073"/>
    <w:rsid w:val="001432FF"/>
    <w:rsid w:val="0014359D"/>
    <w:rsid w:val="001460CF"/>
    <w:rsid w:val="00147248"/>
    <w:rsid w:val="00147A9D"/>
    <w:rsid w:val="00151260"/>
    <w:rsid w:val="0015219D"/>
    <w:rsid w:val="00161167"/>
    <w:rsid w:val="00163D1B"/>
    <w:rsid w:val="00164C36"/>
    <w:rsid w:val="001655FE"/>
    <w:rsid w:val="00165807"/>
    <w:rsid w:val="00166C76"/>
    <w:rsid w:val="0017330A"/>
    <w:rsid w:val="00180DAF"/>
    <w:rsid w:val="00181417"/>
    <w:rsid w:val="001845A5"/>
    <w:rsid w:val="00185759"/>
    <w:rsid w:val="00195EC9"/>
    <w:rsid w:val="001A1268"/>
    <w:rsid w:val="001A1527"/>
    <w:rsid w:val="001A5F77"/>
    <w:rsid w:val="001C00FC"/>
    <w:rsid w:val="001C0771"/>
    <w:rsid w:val="001C1861"/>
    <w:rsid w:val="001C6156"/>
    <w:rsid w:val="001D2BA1"/>
    <w:rsid w:val="001E7389"/>
    <w:rsid w:val="001F3176"/>
    <w:rsid w:val="001F387C"/>
    <w:rsid w:val="001F7C82"/>
    <w:rsid w:val="00201E00"/>
    <w:rsid w:val="00202DB8"/>
    <w:rsid w:val="00203B55"/>
    <w:rsid w:val="0020551A"/>
    <w:rsid w:val="00205D51"/>
    <w:rsid w:val="00217769"/>
    <w:rsid w:val="00220195"/>
    <w:rsid w:val="002248AB"/>
    <w:rsid w:val="002309DA"/>
    <w:rsid w:val="0023228D"/>
    <w:rsid w:val="00233446"/>
    <w:rsid w:val="002339F3"/>
    <w:rsid w:val="0023747F"/>
    <w:rsid w:val="00243152"/>
    <w:rsid w:val="00250F0B"/>
    <w:rsid w:val="00257144"/>
    <w:rsid w:val="00257A85"/>
    <w:rsid w:val="00257CA1"/>
    <w:rsid w:val="00264D40"/>
    <w:rsid w:val="00266356"/>
    <w:rsid w:val="00276846"/>
    <w:rsid w:val="0028301A"/>
    <w:rsid w:val="002A0020"/>
    <w:rsid w:val="002A3A06"/>
    <w:rsid w:val="002A566D"/>
    <w:rsid w:val="002A7484"/>
    <w:rsid w:val="002B23CB"/>
    <w:rsid w:val="002B40C0"/>
    <w:rsid w:val="002C45E8"/>
    <w:rsid w:val="002E219C"/>
    <w:rsid w:val="002E30A6"/>
    <w:rsid w:val="002E33C1"/>
    <w:rsid w:val="002E7B06"/>
    <w:rsid w:val="003008B9"/>
    <w:rsid w:val="00300E77"/>
    <w:rsid w:val="003129FB"/>
    <w:rsid w:val="003140C3"/>
    <w:rsid w:val="00314B22"/>
    <w:rsid w:val="00314C11"/>
    <w:rsid w:val="003160A4"/>
    <w:rsid w:val="00317661"/>
    <w:rsid w:val="003177A4"/>
    <w:rsid w:val="003278DE"/>
    <w:rsid w:val="00332C39"/>
    <w:rsid w:val="0034208D"/>
    <w:rsid w:val="003471B7"/>
    <w:rsid w:val="00350CDE"/>
    <w:rsid w:val="00351926"/>
    <w:rsid w:val="00353DB1"/>
    <w:rsid w:val="003555E9"/>
    <w:rsid w:val="00356E11"/>
    <w:rsid w:val="003621F1"/>
    <w:rsid w:val="00364D82"/>
    <w:rsid w:val="00380A5E"/>
    <w:rsid w:val="00384AF5"/>
    <w:rsid w:val="0038634E"/>
    <w:rsid w:val="00386508"/>
    <w:rsid w:val="00386EC1"/>
    <w:rsid w:val="00392973"/>
    <w:rsid w:val="00393EB8"/>
    <w:rsid w:val="00395F90"/>
    <w:rsid w:val="00397198"/>
    <w:rsid w:val="003A13BF"/>
    <w:rsid w:val="003A63E0"/>
    <w:rsid w:val="003B0267"/>
    <w:rsid w:val="003B06F5"/>
    <w:rsid w:val="003B0ACC"/>
    <w:rsid w:val="003B439E"/>
    <w:rsid w:val="003B5772"/>
    <w:rsid w:val="003C4B24"/>
    <w:rsid w:val="003C604A"/>
    <w:rsid w:val="003D3CD9"/>
    <w:rsid w:val="003D42DE"/>
    <w:rsid w:val="003F1C21"/>
    <w:rsid w:val="003F53CC"/>
    <w:rsid w:val="003F6C7C"/>
    <w:rsid w:val="00404C62"/>
    <w:rsid w:val="004106E7"/>
    <w:rsid w:val="00410E0C"/>
    <w:rsid w:val="0041295C"/>
    <w:rsid w:val="00415F06"/>
    <w:rsid w:val="004201D9"/>
    <w:rsid w:val="00422B67"/>
    <w:rsid w:val="00423C6D"/>
    <w:rsid w:val="00437E14"/>
    <w:rsid w:val="00441766"/>
    <w:rsid w:val="00443BDD"/>
    <w:rsid w:val="00444195"/>
    <w:rsid w:val="00444FD7"/>
    <w:rsid w:val="0045489B"/>
    <w:rsid w:val="0046055B"/>
    <w:rsid w:val="00460D87"/>
    <w:rsid w:val="00462109"/>
    <w:rsid w:val="00470BBB"/>
    <w:rsid w:val="00477248"/>
    <w:rsid w:val="00483CA5"/>
    <w:rsid w:val="00487FF6"/>
    <w:rsid w:val="004911A0"/>
    <w:rsid w:val="00493CB2"/>
    <w:rsid w:val="00495E27"/>
    <w:rsid w:val="004B13BB"/>
    <w:rsid w:val="004B1A6A"/>
    <w:rsid w:val="004B3B82"/>
    <w:rsid w:val="004B6430"/>
    <w:rsid w:val="004D4FCC"/>
    <w:rsid w:val="004E18E3"/>
    <w:rsid w:val="004E2ED2"/>
    <w:rsid w:val="004E414B"/>
    <w:rsid w:val="004E662D"/>
    <w:rsid w:val="004E6D52"/>
    <w:rsid w:val="004E78B6"/>
    <w:rsid w:val="004F0FC3"/>
    <w:rsid w:val="004F4D3C"/>
    <w:rsid w:val="004F52ED"/>
    <w:rsid w:val="005006FB"/>
    <w:rsid w:val="00503BEF"/>
    <w:rsid w:val="00505CEE"/>
    <w:rsid w:val="00517832"/>
    <w:rsid w:val="00521302"/>
    <w:rsid w:val="00521E18"/>
    <w:rsid w:val="0052201A"/>
    <w:rsid w:val="005239BE"/>
    <w:rsid w:val="00532882"/>
    <w:rsid w:val="00533E52"/>
    <w:rsid w:val="0054187E"/>
    <w:rsid w:val="00541D9C"/>
    <w:rsid w:val="00544B62"/>
    <w:rsid w:val="00545DB8"/>
    <w:rsid w:val="0054636A"/>
    <w:rsid w:val="00547A38"/>
    <w:rsid w:val="00553C2C"/>
    <w:rsid w:val="005549F0"/>
    <w:rsid w:val="00560825"/>
    <w:rsid w:val="005648E8"/>
    <w:rsid w:val="00572F25"/>
    <w:rsid w:val="00584DF1"/>
    <w:rsid w:val="00587D5C"/>
    <w:rsid w:val="00595183"/>
    <w:rsid w:val="00595B18"/>
    <w:rsid w:val="00595DC8"/>
    <w:rsid w:val="005B4C2C"/>
    <w:rsid w:val="005C2D7E"/>
    <w:rsid w:val="005C7EB1"/>
    <w:rsid w:val="005D5E0B"/>
    <w:rsid w:val="005E075A"/>
    <w:rsid w:val="005E2054"/>
    <w:rsid w:val="005F2358"/>
    <w:rsid w:val="005F27C2"/>
    <w:rsid w:val="005F6F27"/>
    <w:rsid w:val="0060191B"/>
    <w:rsid w:val="006035EC"/>
    <w:rsid w:val="00604380"/>
    <w:rsid w:val="00611CA6"/>
    <w:rsid w:val="00614C01"/>
    <w:rsid w:val="00614F49"/>
    <w:rsid w:val="0061619D"/>
    <w:rsid w:val="00617F1A"/>
    <w:rsid w:val="006244C6"/>
    <w:rsid w:val="00627FDE"/>
    <w:rsid w:val="00633B1E"/>
    <w:rsid w:val="00633BA5"/>
    <w:rsid w:val="006341C8"/>
    <w:rsid w:val="00634C6B"/>
    <w:rsid w:val="00637168"/>
    <w:rsid w:val="00640ADE"/>
    <w:rsid w:val="00643ABC"/>
    <w:rsid w:val="00646763"/>
    <w:rsid w:val="0065524D"/>
    <w:rsid w:val="00665161"/>
    <w:rsid w:val="006662FE"/>
    <w:rsid w:val="006737D1"/>
    <w:rsid w:val="00677650"/>
    <w:rsid w:val="00682305"/>
    <w:rsid w:val="00686AAA"/>
    <w:rsid w:val="00695F0E"/>
    <w:rsid w:val="006A4D79"/>
    <w:rsid w:val="006A7B54"/>
    <w:rsid w:val="006B0BD9"/>
    <w:rsid w:val="006B0C43"/>
    <w:rsid w:val="006B12D7"/>
    <w:rsid w:val="006B15B3"/>
    <w:rsid w:val="006C2A93"/>
    <w:rsid w:val="006D1464"/>
    <w:rsid w:val="006D6664"/>
    <w:rsid w:val="006D7405"/>
    <w:rsid w:val="006E4AC0"/>
    <w:rsid w:val="006F2D3C"/>
    <w:rsid w:val="006F7533"/>
    <w:rsid w:val="006F7907"/>
    <w:rsid w:val="00702999"/>
    <w:rsid w:val="007036EE"/>
    <w:rsid w:val="00712EFE"/>
    <w:rsid w:val="0072041E"/>
    <w:rsid w:val="007254BA"/>
    <w:rsid w:val="007262B1"/>
    <w:rsid w:val="0072704B"/>
    <w:rsid w:val="007418A9"/>
    <w:rsid w:val="00744189"/>
    <w:rsid w:val="00753DF7"/>
    <w:rsid w:val="007541D1"/>
    <w:rsid w:val="00757B3E"/>
    <w:rsid w:val="00766CF1"/>
    <w:rsid w:val="00773005"/>
    <w:rsid w:val="007765FA"/>
    <w:rsid w:val="00781C83"/>
    <w:rsid w:val="00783D81"/>
    <w:rsid w:val="00786789"/>
    <w:rsid w:val="007877DF"/>
    <w:rsid w:val="00787C22"/>
    <w:rsid w:val="00790EC5"/>
    <w:rsid w:val="007A1697"/>
    <w:rsid w:val="007A3428"/>
    <w:rsid w:val="007A3679"/>
    <w:rsid w:val="007B09F5"/>
    <w:rsid w:val="007B10E3"/>
    <w:rsid w:val="007B126F"/>
    <w:rsid w:val="007B235F"/>
    <w:rsid w:val="007C3BA8"/>
    <w:rsid w:val="007C526A"/>
    <w:rsid w:val="007C61ED"/>
    <w:rsid w:val="007C746A"/>
    <w:rsid w:val="007D064F"/>
    <w:rsid w:val="007D5D14"/>
    <w:rsid w:val="007D7E52"/>
    <w:rsid w:val="007E1C7A"/>
    <w:rsid w:val="007E521C"/>
    <w:rsid w:val="007E7088"/>
    <w:rsid w:val="007F0A9A"/>
    <w:rsid w:val="007F2E6A"/>
    <w:rsid w:val="007F3233"/>
    <w:rsid w:val="007F5270"/>
    <w:rsid w:val="007F5572"/>
    <w:rsid w:val="007F5BA4"/>
    <w:rsid w:val="008011C4"/>
    <w:rsid w:val="00801702"/>
    <w:rsid w:val="008023DF"/>
    <w:rsid w:val="008039B2"/>
    <w:rsid w:val="008049DC"/>
    <w:rsid w:val="008053DD"/>
    <w:rsid w:val="0080658E"/>
    <w:rsid w:val="00807EBC"/>
    <w:rsid w:val="008132AA"/>
    <w:rsid w:val="00816FD3"/>
    <w:rsid w:val="008175D8"/>
    <w:rsid w:val="008240A1"/>
    <w:rsid w:val="00825082"/>
    <w:rsid w:val="00827BAC"/>
    <w:rsid w:val="00830C6F"/>
    <w:rsid w:val="0083221C"/>
    <w:rsid w:val="00834C9A"/>
    <w:rsid w:val="00834DF4"/>
    <w:rsid w:val="00841E8F"/>
    <w:rsid w:val="00844487"/>
    <w:rsid w:val="00851547"/>
    <w:rsid w:val="00860685"/>
    <w:rsid w:val="00861B7C"/>
    <w:rsid w:val="008648EE"/>
    <w:rsid w:val="00866272"/>
    <w:rsid w:val="008724FF"/>
    <w:rsid w:val="008833DD"/>
    <w:rsid w:val="00884284"/>
    <w:rsid w:val="008859DD"/>
    <w:rsid w:val="008959E3"/>
    <w:rsid w:val="0089621D"/>
    <w:rsid w:val="008A19B7"/>
    <w:rsid w:val="008C249D"/>
    <w:rsid w:val="008C3EF6"/>
    <w:rsid w:val="008C55E4"/>
    <w:rsid w:val="008C5BBA"/>
    <w:rsid w:val="008D1CC9"/>
    <w:rsid w:val="008D4B33"/>
    <w:rsid w:val="008E7079"/>
    <w:rsid w:val="00900495"/>
    <w:rsid w:val="00905463"/>
    <w:rsid w:val="009059B1"/>
    <w:rsid w:val="00915E7A"/>
    <w:rsid w:val="0091600C"/>
    <w:rsid w:val="00921D23"/>
    <w:rsid w:val="009271AB"/>
    <w:rsid w:val="00927408"/>
    <w:rsid w:val="0093099F"/>
    <w:rsid w:val="00941293"/>
    <w:rsid w:val="00942459"/>
    <w:rsid w:val="009450EE"/>
    <w:rsid w:val="00946705"/>
    <w:rsid w:val="00947754"/>
    <w:rsid w:val="009510C5"/>
    <w:rsid w:val="00951CE8"/>
    <w:rsid w:val="009521BC"/>
    <w:rsid w:val="009529DC"/>
    <w:rsid w:val="00961819"/>
    <w:rsid w:val="00964205"/>
    <w:rsid w:val="00981189"/>
    <w:rsid w:val="009843D6"/>
    <w:rsid w:val="0099228B"/>
    <w:rsid w:val="009A0170"/>
    <w:rsid w:val="009A10F6"/>
    <w:rsid w:val="009A56BF"/>
    <w:rsid w:val="009A7351"/>
    <w:rsid w:val="009B171A"/>
    <w:rsid w:val="009B2C4A"/>
    <w:rsid w:val="009B5DC4"/>
    <w:rsid w:val="009C0BF2"/>
    <w:rsid w:val="009C0EF4"/>
    <w:rsid w:val="009C5553"/>
    <w:rsid w:val="009C7DE3"/>
    <w:rsid w:val="009D0C8F"/>
    <w:rsid w:val="009D26C1"/>
    <w:rsid w:val="009D2790"/>
    <w:rsid w:val="009E0A3F"/>
    <w:rsid w:val="009E26ED"/>
    <w:rsid w:val="009E4145"/>
    <w:rsid w:val="009F4412"/>
    <w:rsid w:val="009F550F"/>
    <w:rsid w:val="009F6AED"/>
    <w:rsid w:val="009F7857"/>
    <w:rsid w:val="00A01685"/>
    <w:rsid w:val="00A06296"/>
    <w:rsid w:val="00A21BE7"/>
    <w:rsid w:val="00A21E3F"/>
    <w:rsid w:val="00A24B99"/>
    <w:rsid w:val="00A251E5"/>
    <w:rsid w:val="00A27DE8"/>
    <w:rsid w:val="00A302A8"/>
    <w:rsid w:val="00A349B6"/>
    <w:rsid w:val="00A36064"/>
    <w:rsid w:val="00A4091F"/>
    <w:rsid w:val="00A42C16"/>
    <w:rsid w:val="00A43592"/>
    <w:rsid w:val="00A56E6D"/>
    <w:rsid w:val="00A63CA2"/>
    <w:rsid w:val="00A701A8"/>
    <w:rsid w:val="00A761AF"/>
    <w:rsid w:val="00A76A81"/>
    <w:rsid w:val="00A84DBB"/>
    <w:rsid w:val="00A859B1"/>
    <w:rsid w:val="00A87E48"/>
    <w:rsid w:val="00A9301F"/>
    <w:rsid w:val="00A96BB1"/>
    <w:rsid w:val="00AA2948"/>
    <w:rsid w:val="00AA4C7D"/>
    <w:rsid w:val="00AB69ED"/>
    <w:rsid w:val="00AC2400"/>
    <w:rsid w:val="00AD2482"/>
    <w:rsid w:val="00AD6E76"/>
    <w:rsid w:val="00AD6F3B"/>
    <w:rsid w:val="00AD7B1A"/>
    <w:rsid w:val="00AE01FC"/>
    <w:rsid w:val="00AE12E4"/>
    <w:rsid w:val="00AF163F"/>
    <w:rsid w:val="00AF4604"/>
    <w:rsid w:val="00AF4E6B"/>
    <w:rsid w:val="00AF6CB6"/>
    <w:rsid w:val="00AF78C2"/>
    <w:rsid w:val="00B12B31"/>
    <w:rsid w:val="00B12FE2"/>
    <w:rsid w:val="00B1630F"/>
    <w:rsid w:val="00B1768B"/>
    <w:rsid w:val="00B31966"/>
    <w:rsid w:val="00B34808"/>
    <w:rsid w:val="00B44A94"/>
    <w:rsid w:val="00B46648"/>
    <w:rsid w:val="00B50787"/>
    <w:rsid w:val="00B50F3F"/>
    <w:rsid w:val="00B52910"/>
    <w:rsid w:val="00B5501D"/>
    <w:rsid w:val="00B554FC"/>
    <w:rsid w:val="00B57279"/>
    <w:rsid w:val="00B663BE"/>
    <w:rsid w:val="00B70ADC"/>
    <w:rsid w:val="00B756B1"/>
    <w:rsid w:val="00B77D50"/>
    <w:rsid w:val="00B81409"/>
    <w:rsid w:val="00B81907"/>
    <w:rsid w:val="00B84067"/>
    <w:rsid w:val="00B84320"/>
    <w:rsid w:val="00B85430"/>
    <w:rsid w:val="00B85B6C"/>
    <w:rsid w:val="00B869DE"/>
    <w:rsid w:val="00B907E8"/>
    <w:rsid w:val="00BA1CAF"/>
    <w:rsid w:val="00BA2EE8"/>
    <w:rsid w:val="00BA38B1"/>
    <w:rsid w:val="00BB0CF8"/>
    <w:rsid w:val="00BB43A8"/>
    <w:rsid w:val="00BB7C87"/>
    <w:rsid w:val="00BC0952"/>
    <w:rsid w:val="00BC28E1"/>
    <w:rsid w:val="00BC3404"/>
    <w:rsid w:val="00BC5644"/>
    <w:rsid w:val="00BD582E"/>
    <w:rsid w:val="00BD59D0"/>
    <w:rsid w:val="00BD664E"/>
    <w:rsid w:val="00BE4CB8"/>
    <w:rsid w:val="00BF308E"/>
    <w:rsid w:val="00BF4485"/>
    <w:rsid w:val="00BF459F"/>
    <w:rsid w:val="00BF625E"/>
    <w:rsid w:val="00C02D9B"/>
    <w:rsid w:val="00C0746E"/>
    <w:rsid w:val="00C13AB0"/>
    <w:rsid w:val="00C162B0"/>
    <w:rsid w:val="00C16FD4"/>
    <w:rsid w:val="00C25E65"/>
    <w:rsid w:val="00C2778C"/>
    <w:rsid w:val="00C35888"/>
    <w:rsid w:val="00C35B18"/>
    <w:rsid w:val="00C41D29"/>
    <w:rsid w:val="00C47309"/>
    <w:rsid w:val="00C54964"/>
    <w:rsid w:val="00C57885"/>
    <w:rsid w:val="00C57D95"/>
    <w:rsid w:val="00C6671B"/>
    <w:rsid w:val="00C72D2F"/>
    <w:rsid w:val="00C73EBD"/>
    <w:rsid w:val="00C811CA"/>
    <w:rsid w:val="00C829CD"/>
    <w:rsid w:val="00C84104"/>
    <w:rsid w:val="00C850B2"/>
    <w:rsid w:val="00C9037B"/>
    <w:rsid w:val="00C9483B"/>
    <w:rsid w:val="00C9518A"/>
    <w:rsid w:val="00CA361E"/>
    <w:rsid w:val="00CA4037"/>
    <w:rsid w:val="00CA403B"/>
    <w:rsid w:val="00CA61CA"/>
    <w:rsid w:val="00CC4A00"/>
    <w:rsid w:val="00CC7589"/>
    <w:rsid w:val="00CD2839"/>
    <w:rsid w:val="00CD5489"/>
    <w:rsid w:val="00CD69AD"/>
    <w:rsid w:val="00CE6FC7"/>
    <w:rsid w:val="00CF2695"/>
    <w:rsid w:val="00CF3874"/>
    <w:rsid w:val="00D04C03"/>
    <w:rsid w:val="00D06EC2"/>
    <w:rsid w:val="00D070BE"/>
    <w:rsid w:val="00D10277"/>
    <w:rsid w:val="00D14589"/>
    <w:rsid w:val="00D200BA"/>
    <w:rsid w:val="00D2338F"/>
    <w:rsid w:val="00D23697"/>
    <w:rsid w:val="00D2433A"/>
    <w:rsid w:val="00D27235"/>
    <w:rsid w:val="00D34FD6"/>
    <w:rsid w:val="00D41266"/>
    <w:rsid w:val="00D441A7"/>
    <w:rsid w:val="00D4763E"/>
    <w:rsid w:val="00D53ABA"/>
    <w:rsid w:val="00D64333"/>
    <w:rsid w:val="00D66C21"/>
    <w:rsid w:val="00D74705"/>
    <w:rsid w:val="00D81799"/>
    <w:rsid w:val="00D955C1"/>
    <w:rsid w:val="00DA328B"/>
    <w:rsid w:val="00DA788A"/>
    <w:rsid w:val="00DB4955"/>
    <w:rsid w:val="00DC041E"/>
    <w:rsid w:val="00DC0E21"/>
    <w:rsid w:val="00DC7B34"/>
    <w:rsid w:val="00DD3AC1"/>
    <w:rsid w:val="00DD4E5D"/>
    <w:rsid w:val="00DD621F"/>
    <w:rsid w:val="00DD7C0D"/>
    <w:rsid w:val="00DE1DDD"/>
    <w:rsid w:val="00DE4221"/>
    <w:rsid w:val="00DE478D"/>
    <w:rsid w:val="00DF3BC7"/>
    <w:rsid w:val="00DF3DB8"/>
    <w:rsid w:val="00DF4520"/>
    <w:rsid w:val="00DF6048"/>
    <w:rsid w:val="00DF788E"/>
    <w:rsid w:val="00DF7DC7"/>
    <w:rsid w:val="00E01678"/>
    <w:rsid w:val="00E0465A"/>
    <w:rsid w:val="00E167B3"/>
    <w:rsid w:val="00E203BE"/>
    <w:rsid w:val="00E27887"/>
    <w:rsid w:val="00E31A54"/>
    <w:rsid w:val="00E42A86"/>
    <w:rsid w:val="00E44F8F"/>
    <w:rsid w:val="00E47816"/>
    <w:rsid w:val="00E51433"/>
    <w:rsid w:val="00E51E6D"/>
    <w:rsid w:val="00E572E9"/>
    <w:rsid w:val="00E6100F"/>
    <w:rsid w:val="00E62C4C"/>
    <w:rsid w:val="00E66B1F"/>
    <w:rsid w:val="00E72DCE"/>
    <w:rsid w:val="00E766B0"/>
    <w:rsid w:val="00E80A39"/>
    <w:rsid w:val="00E80DF0"/>
    <w:rsid w:val="00E83FCF"/>
    <w:rsid w:val="00E846B6"/>
    <w:rsid w:val="00E851D7"/>
    <w:rsid w:val="00E93980"/>
    <w:rsid w:val="00E948F8"/>
    <w:rsid w:val="00EA4B00"/>
    <w:rsid w:val="00EA50F5"/>
    <w:rsid w:val="00EB1340"/>
    <w:rsid w:val="00EB2F5D"/>
    <w:rsid w:val="00EB6B0B"/>
    <w:rsid w:val="00EB7EBA"/>
    <w:rsid w:val="00EC1583"/>
    <w:rsid w:val="00EC1BA2"/>
    <w:rsid w:val="00EC5BBE"/>
    <w:rsid w:val="00ED23EF"/>
    <w:rsid w:val="00ED52DA"/>
    <w:rsid w:val="00ED585A"/>
    <w:rsid w:val="00EE0CE8"/>
    <w:rsid w:val="00EE63BB"/>
    <w:rsid w:val="00EF6DD7"/>
    <w:rsid w:val="00F00BE3"/>
    <w:rsid w:val="00F02EA6"/>
    <w:rsid w:val="00F03413"/>
    <w:rsid w:val="00F06479"/>
    <w:rsid w:val="00F073BA"/>
    <w:rsid w:val="00F107B3"/>
    <w:rsid w:val="00F13172"/>
    <w:rsid w:val="00F222D3"/>
    <w:rsid w:val="00F23CF6"/>
    <w:rsid w:val="00F32397"/>
    <w:rsid w:val="00F3684D"/>
    <w:rsid w:val="00F36E09"/>
    <w:rsid w:val="00F4060E"/>
    <w:rsid w:val="00F42A8D"/>
    <w:rsid w:val="00F44E96"/>
    <w:rsid w:val="00F46B93"/>
    <w:rsid w:val="00F536AD"/>
    <w:rsid w:val="00F53AC5"/>
    <w:rsid w:val="00F548FD"/>
    <w:rsid w:val="00F628C0"/>
    <w:rsid w:val="00F6297A"/>
    <w:rsid w:val="00F62A1A"/>
    <w:rsid w:val="00F62F37"/>
    <w:rsid w:val="00F70902"/>
    <w:rsid w:val="00F75ED5"/>
    <w:rsid w:val="00F76581"/>
    <w:rsid w:val="00F85D2A"/>
    <w:rsid w:val="00F8659E"/>
    <w:rsid w:val="00F938B2"/>
    <w:rsid w:val="00F93BE2"/>
    <w:rsid w:val="00F95E43"/>
    <w:rsid w:val="00F96B85"/>
    <w:rsid w:val="00F977DD"/>
    <w:rsid w:val="00F97D35"/>
    <w:rsid w:val="00FA07E7"/>
    <w:rsid w:val="00FA0DCB"/>
    <w:rsid w:val="00FA123E"/>
    <w:rsid w:val="00FA2791"/>
    <w:rsid w:val="00FA4306"/>
    <w:rsid w:val="00FB56C0"/>
    <w:rsid w:val="00FB648B"/>
    <w:rsid w:val="00FB770E"/>
    <w:rsid w:val="00FC6431"/>
    <w:rsid w:val="00FC70D2"/>
    <w:rsid w:val="00FE1164"/>
    <w:rsid w:val="00FE2C24"/>
    <w:rsid w:val="00FE5DA5"/>
    <w:rsid w:val="00FF00ED"/>
    <w:rsid w:val="00FF25EF"/>
    <w:rsid w:val="00FF365A"/>
    <w:rsid w:val="00FF702C"/>
    <w:rsid w:val="00FF7DF2"/>
    <w:rsid w:val="010A2CBD"/>
    <w:rsid w:val="01612B3B"/>
    <w:rsid w:val="0178684D"/>
    <w:rsid w:val="01787946"/>
    <w:rsid w:val="017A63B7"/>
    <w:rsid w:val="017F1012"/>
    <w:rsid w:val="01B30375"/>
    <w:rsid w:val="01D15546"/>
    <w:rsid w:val="01DA226F"/>
    <w:rsid w:val="01F76375"/>
    <w:rsid w:val="021F324C"/>
    <w:rsid w:val="02624152"/>
    <w:rsid w:val="027A149C"/>
    <w:rsid w:val="0282100B"/>
    <w:rsid w:val="028A16DA"/>
    <w:rsid w:val="028B1983"/>
    <w:rsid w:val="02AB5498"/>
    <w:rsid w:val="02DE0E3A"/>
    <w:rsid w:val="02E42DB9"/>
    <w:rsid w:val="03140264"/>
    <w:rsid w:val="036324FC"/>
    <w:rsid w:val="036944F1"/>
    <w:rsid w:val="038A3FBC"/>
    <w:rsid w:val="038A7E04"/>
    <w:rsid w:val="03B86720"/>
    <w:rsid w:val="03BD299A"/>
    <w:rsid w:val="03E012B9"/>
    <w:rsid w:val="03E415C0"/>
    <w:rsid w:val="040316BD"/>
    <w:rsid w:val="04041965"/>
    <w:rsid w:val="040E483B"/>
    <w:rsid w:val="04114264"/>
    <w:rsid w:val="0437631C"/>
    <w:rsid w:val="04392360"/>
    <w:rsid w:val="0454202A"/>
    <w:rsid w:val="048A7865"/>
    <w:rsid w:val="04BD08EE"/>
    <w:rsid w:val="04C1355E"/>
    <w:rsid w:val="04C24F80"/>
    <w:rsid w:val="05490ED2"/>
    <w:rsid w:val="05511B0C"/>
    <w:rsid w:val="055924E3"/>
    <w:rsid w:val="057325C6"/>
    <w:rsid w:val="05911F20"/>
    <w:rsid w:val="059748D0"/>
    <w:rsid w:val="05BE678D"/>
    <w:rsid w:val="05DC4B7A"/>
    <w:rsid w:val="05E21AC6"/>
    <w:rsid w:val="061C37C8"/>
    <w:rsid w:val="065F110D"/>
    <w:rsid w:val="067F3B3C"/>
    <w:rsid w:val="06A8399B"/>
    <w:rsid w:val="06D05B2E"/>
    <w:rsid w:val="06E45D67"/>
    <w:rsid w:val="06EC5B17"/>
    <w:rsid w:val="06FC31AA"/>
    <w:rsid w:val="07122789"/>
    <w:rsid w:val="071432AB"/>
    <w:rsid w:val="074A4877"/>
    <w:rsid w:val="077E2B8B"/>
    <w:rsid w:val="078608E3"/>
    <w:rsid w:val="07902899"/>
    <w:rsid w:val="07C16E67"/>
    <w:rsid w:val="07D74FED"/>
    <w:rsid w:val="07DA276A"/>
    <w:rsid w:val="07DA6436"/>
    <w:rsid w:val="07E8634C"/>
    <w:rsid w:val="08163A15"/>
    <w:rsid w:val="081B5071"/>
    <w:rsid w:val="081B727D"/>
    <w:rsid w:val="0834033F"/>
    <w:rsid w:val="0846719C"/>
    <w:rsid w:val="08647486"/>
    <w:rsid w:val="08801D2A"/>
    <w:rsid w:val="088077EC"/>
    <w:rsid w:val="08887952"/>
    <w:rsid w:val="08940DDD"/>
    <w:rsid w:val="08B04B04"/>
    <w:rsid w:val="08BB4E0D"/>
    <w:rsid w:val="08D50902"/>
    <w:rsid w:val="08EE1225"/>
    <w:rsid w:val="08EF6207"/>
    <w:rsid w:val="0963705F"/>
    <w:rsid w:val="096D3C92"/>
    <w:rsid w:val="097F6105"/>
    <w:rsid w:val="0984078A"/>
    <w:rsid w:val="098B21E0"/>
    <w:rsid w:val="09C222A9"/>
    <w:rsid w:val="09D52C60"/>
    <w:rsid w:val="09D6355A"/>
    <w:rsid w:val="09EC6316"/>
    <w:rsid w:val="0A0124A3"/>
    <w:rsid w:val="0A420254"/>
    <w:rsid w:val="0A552D5E"/>
    <w:rsid w:val="0A9E2BC7"/>
    <w:rsid w:val="0AA95BB5"/>
    <w:rsid w:val="0AB13939"/>
    <w:rsid w:val="0ABE4F76"/>
    <w:rsid w:val="0AC7348F"/>
    <w:rsid w:val="0AD76760"/>
    <w:rsid w:val="0AE95411"/>
    <w:rsid w:val="0AF3628F"/>
    <w:rsid w:val="0AF74C65"/>
    <w:rsid w:val="0AFC4BB0"/>
    <w:rsid w:val="0B0F4133"/>
    <w:rsid w:val="0B23147D"/>
    <w:rsid w:val="0B2723E8"/>
    <w:rsid w:val="0B2F7D38"/>
    <w:rsid w:val="0B4376D6"/>
    <w:rsid w:val="0B494B1F"/>
    <w:rsid w:val="0B640F3B"/>
    <w:rsid w:val="0B7B771C"/>
    <w:rsid w:val="0BC25AC9"/>
    <w:rsid w:val="0BEA41B7"/>
    <w:rsid w:val="0C1212D0"/>
    <w:rsid w:val="0C57383A"/>
    <w:rsid w:val="0C8D35E2"/>
    <w:rsid w:val="0C9A0616"/>
    <w:rsid w:val="0CB67574"/>
    <w:rsid w:val="0CE817DE"/>
    <w:rsid w:val="0D0C7B8D"/>
    <w:rsid w:val="0D223AE0"/>
    <w:rsid w:val="0D294AD0"/>
    <w:rsid w:val="0D4E21F9"/>
    <w:rsid w:val="0D9964FE"/>
    <w:rsid w:val="0DB52570"/>
    <w:rsid w:val="0DCF3C3F"/>
    <w:rsid w:val="0DDD3876"/>
    <w:rsid w:val="0DEE4240"/>
    <w:rsid w:val="0E4E7B1F"/>
    <w:rsid w:val="0E5B52A3"/>
    <w:rsid w:val="0E6C7DC7"/>
    <w:rsid w:val="0E891F70"/>
    <w:rsid w:val="0EE300A5"/>
    <w:rsid w:val="0EFD2112"/>
    <w:rsid w:val="0F03639C"/>
    <w:rsid w:val="0F665A53"/>
    <w:rsid w:val="0F673762"/>
    <w:rsid w:val="0FA7589A"/>
    <w:rsid w:val="0FB07EA3"/>
    <w:rsid w:val="0FEB77EA"/>
    <w:rsid w:val="100E0093"/>
    <w:rsid w:val="10362C48"/>
    <w:rsid w:val="105750B4"/>
    <w:rsid w:val="105F5578"/>
    <w:rsid w:val="106F5306"/>
    <w:rsid w:val="10A771A3"/>
    <w:rsid w:val="10BD312A"/>
    <w:rsid w:val="10CF3072"/>
    <w:rsid w:val="10F536F7"/>
    <w:rsid w:val="111F473A"/>
    <w:rsid w:val="11551A52"/>
    <w:rsid w:val="115F23BD"/>
    <w:rsid w:val="119F468C"/>
    <w:rsid w:val="11A26319"/>
    <w:rsid w:val="11BE3EF8"/>
    <w:rsid w:val="11C00D1B"/>
    <w:rsid w:val="122E6528"/>
    <w:rsid w:val="12354F66"/>
    <w:rsid w:val="12817A5C"/>
    <w:rsid w:val="128A1839"/>
    <w:rsid w:val="1296365D"/>
    <w:rsid w:val="12A11157"/>
    <w:rsid w:val="12A55086"/>
    <w:rsid w:val="12C21803"/>
    <w:rsid w:val="12D76A9D"/>
    <w:rsid w:val="12D8491F"/>
    <w:rsid w:val="12E05F13"/>
    <w:rsid w:val="12EB73F0"/>
    <w:rsid w:val="13026317"/>
    <w:rsid w:val="13060576"/>
    <w:rsid w:val="132F58B1"/>
    <w:rsid w:val="136B07DB"/>
    <w:rsid w:val="137E038F"/>
    <w:rsid w:val="139A394F"/>
    <w:rsid w:val="13AC57C9"/>
    <w:rsid w:val="13C27551"/>
    <w:rsid w:val="13CE1647"/>
    <w:rsid w:val="13EC1D45"/>
    <w:rsid w:val="13FB479E"/>
    <w:rsid w:val="14426320"/>
    <w:rsid w:val="145204CA"/>
    <w:rsid w:val="14712233"/>
    <w:rsid w:val="14A378CC"/>
    <w:rsid w:val="14A842A6"/>
    <w:rsid w:val="14AD71B9"/>
    <w:rsid w:val="14C03297"/>
    <w:rsid w:val="15207E48"/>
    <w:rsid w:val="153B3FA2"/>
    <w:rsid w:val="155A15F1"/>
    <w:rsid w:val="15A05C95"/>
    <w:rsid w:val="15D656D1"/>
    <w:rsid w:val="15EB2077"/>
    <w:rsid w:val="160278D3"/>
    <w:rsid w:val="160845AA"/>
    <w:rsid w:val="167148C8"/>
    <w:rsid w:val="167A6DF6"/>
    <w:rsid w:val="169327F6"/>
    <w:rsid w:val="16D647E6"/>
    <w:rsid w:val="16DB4CE3"/>
    <w:rsid w:val="16F8334B"/>
    <w:rsid w:val="1700168F"/>
    <w:rsid w:val="17226F91"/>
    <w:rsid w:val="17347B09"/>
    <w:rsid w:val="17431FA1"/>
    <w:rsid w:val="176204A9"/>
    <w:rsid w:val="17943BCD"/>
    <w:rsid w:val="17963C4D"/>
    <w:rsid w:val="17B02201"/>
    <w:rsid w:val="17CD3BBD"/>
    <w:rsid w:val="182F17B2"/>
    <w:rsid w:val="18363B45"/>
    <w:rsid w:val="183C1BC1"/>
    <w:rsid w:val="187C6677"/>
    <w:rsid w:val="187F5606"/>
    <w:rsid w:val="18F90B32"/>
    <w:rsid w:val="191C132A"/>
    <w:rsid w:val="19337880"/>
    <w:rsid w:val="197B7525"/>
    <w:rsid w:val="199576CF"/>
    <w:rsid w:val="199B4FC4"/>
    <w:rsid w:val="1A377809"/>
    <w:rsid w:val="1A666985"/>
    <w:rsid w:val="1A805AF6"/>
    <w:rsid w:val="1AC579F4"/>
    <w:rsid w:val="1ADF35D3"/>
    <w:rsid w:val="1AEF632B"/>
    <w:rsid w:val="1B193960"/>
    <w:rsid w:val="1B1F124D"/>
    <w:rsid w:val="1B2F1F7B"/>
    <w:rsid w:val="1B623861"/>
    <w:rsid w:val="1B673891"/>
    <w:rsid w:val="1B851CD2"/>
    <w:rsid w:val="1B882D2D"/>
    <w:rsid w:val="1B92629C"/>
    <w:rsid w:val="1BA53BBA"/>
    <w:rsid w:val="1BB24A48"/>
    <w:rsid w:val="1C18148F"/>
    <w:rsid w:val="1C2F4322"/>
    <w:rsid w:val="1C3642CE"/>
    <w:rsid w:val="1C493F61"/>
    <w:rsid w:val="1C4970F4"/>
    <w:rsid w:val="1C585900"/>
    <w:rsid w:val="1CA607B0"/>
    <w:rsid w:val="1CA66F63"/>
    <w:rsid w:val="1CAE1250"/>
    <w:rsid w:val="1CBE12DF"/>
    <w:rsid w:val="1CCA52F7"/>
    <w:rsid w:val="1D1212BC"/>
    <w:rsid w:val="1D253933"/>
    <w:rsid w:val="1D672B44"/>
    <w:rsid w:val="1D6B48DD"/>
    <w:rsid w:val="1DFB50CA"/>
    <w:rsid w:val="1E0565AE"/>
    <w:rsid w:val="1E2118F2"/>
    <w:rsid w:val="1E3002F2"/>
    <w:rsid w:val="1E412D7B"/>
    <w:rsid w:val="1E4668D5"/>
    <w:rsid w:val="1E4F09CD"/>
    <w:rsid w:val="1E6C29FB"/>
    <w:rsid w:val="1E7777B5"/>
    <w:rsid w:val="1E7F3BE3"/>
    <w:rsid w:val="1EA41923"/>
    <w:rsid w:val="1EAB497C"/>
    <w:rsid w:val="1EE6133B"/>
    <w:rsid w:val="1F1024C0"/>
    <w:rsid w:val="1F120F82"/>
    <w:rsid w:val="1F861028"/>
    <w:rsid w:val="1F870866"/>
    <w:rsid w:val="1FFE5062"/>
    <w:rsid w:val="201D2FF3"/>
    <w:rsid w:val="206C1477"/>
    <w:rsid w:val="207C6681"/>
    <w:rsid w:val="20845CEC"/>
    <w:rsid w:val="20DC4E1D"/>
    <w:rsid w:val="210B6437"/>
    <w:rsid w:val="212D191D"/>
    <w:rsid w:val="21354886"/>
    <w:rsid w:val="21477473"/>
    <w:rsid w:val="218B1BE1"/>
    <w:rsid w:val="2192070D"/>
    <w:rsid w:val="21A71BCE"/>
    <w:rsid w:val="21FE062B"/>
    <w:rsid w:val="22186472"/>
    <w:rsid w:val="221B5D38"/>
    <w:rsid w:val="228E26EE"/>
    <w:rsid w:val="22B76993"/>
    <w:rsid w:val="22E5362B"/>
    <w:rsid w:val="23150397"/>
    <w:rsid w:val="23343F07"/>
    <w:rsid w:val="23394ABA"/>
    <w:rsid w:val="235E364C"/>
    <w:rsid w:val="236C3515"/>
    <w:rsid w:val="23BD6D3B"/>
    <w:rsid w:val="23C07029"/>
    <w:rsid w:val="23E43E17"/>
    <w:rsid w:val="24227198"/>
    <w:rsid w:val="24250E08"/>
    <w:rsid w:val="243D774E"/>
    <w:rsid w:val="24531196"/>
    <w:rsid w:val="245454BE"/>
    <w:rsid w:val="246B012B"/>
    <w:rsid w:val="248908ED"/>
    <w:rsid w:val="249875B9"/>
    <w:rsid w:val="24B26F35"/>
    <w:rsid w:val="24E241FB"/>
    <w:rsid w:val="24FE5632"/>
    <w:rsid w:val="251F4E1F"/>
    <w:rsid w:val="252C788F"/>
    <w:rsid w:val="254A2F25"/>
    <w:rsid w:val="25661FA2"/>
    <w:rsid w:val="256B03E1"/>
    <w:rsid w:val="25761513"/>
    <w:rsid w:val="259B4A19"/>
    <w:rsid w:val="25B6652D"/>
    <w:rsid w:val="25DF4872"/>
    <w:rsid w:val="261D5A99"/>
    <w:rsid w:val="263B1CAD"/>
    <w:rsid w:val="263E4636"/>
    <w:rsid w:val="264B7043"/>
    <w:rsid w:val="26580AE6"/>
    <w:rsid w:val="265976FA"/>
    <w:rsid w:val="26E93ED0"/>
    <w:rsid w:val="26F164F0"/>
    <w:rsid w:val="275413AC"/>
    <w:rsid w:val="276C4F64"/>
    <w:rsid w:val="2776026F"/>
    <w:rsid w:val="28184A36"/>
    <w:rsid w:val="28304227"/>
    <w:rsid w:val="2837031A"/>
    <w:rsid w:val="283E71BA"/>
    <w:rsid w:val="288F53F1"/>
    <w:rsid w:val="28A16ED3"/>
    <w:rsid w:val="28B144E1"/>
    <w:rsid w:val="28B5297E"/>
    <w:rsid w:val="28B96B3B"/>
    <w:rsid w:val="28C826B1"/>
    <w:rsid w:val="28F03EB7"/>
    <w:rsid w:val="29183639"/>
    <w:rsid w:val="294361DC"/>
    <w:rsid w:val="2957747C"/>
    <w:rsid w:val="298072F3"/>
    <w:rsid w:val="2984482A"/>
    <w:rsid w:val="29B97AA6"/>
    <w:rsid w:val="2A16345D"/>
    <w:rsid w:val="2A2972C0"/>
    <w:rsid w:val="2A4F7491"/>
    <w:rsid w:val="2A506E2C"/>
    <w:rsid w:val="2A6B0A80"/>
    <w:rsid w:val="2A7243BC"/>
    <w:rsid w:val="2A94525C"/>
    <w:rsid w:val="2AB00CF6"/>
    <w:rsid w:val="2AB26EA2"/>
    <w:rsid w:val="2ABD6D86"/>
    <w:rsid w:val="2ACD096A"/>
    <w:rsid w:val="2AEE42AE"/>
    <w:rsid w:val="2AF12BDA"/>
    <w:rsid w:val="2B386B7A"/>
    <w:rsid w:val="2B500F1E"/>
    <w:rsid w:val="2B5074BA"/>
    <w:rsid w:val="2B7B6309"/>
    <w:rsid w:val="2BD80E5D"/>
    <w:rsid w:val="2BDF3339"/>
    <w:rsid w:val="2C153E60"/>
    <w:rsid w:val="2C271DE5"/>
    <w:rsid w:val="2C291C88"/>
    <w:rsid w:val="2C31413B"/>
    <w:rsid w:val="2C4D73A2"/>
    <w:rsid w:val="2C522877"/>
    <w:rsid w:val="2C542415"/>
    <w:rsid w:val="2C6B77EF"/>
    <w:rsid w:val="2C703E0A"/>
    <w:rsid w:val="2C7A1F81"/>
    <w:rsid w:val="2C7B1AEF"/>
    <w:rsid w:val="2C86782A"/>
    <w:rsid w:val="2CAB3C83"/>
    <w:rsid w:val="2CC7158E"/>
    <w:rsid w:val="2CDB2032"/>
    <w:rsid w:val="2D024E4C"/>
    <w:rsid w:val="2D3877A1"/>
    <w:rsid w:val="2D3C0829"/>
    <w:rsid w:val="2D52105F"/>
    <w:rsid w:val="2DCD0BD5"/>
    <w:rsid w:val="2DD245C7"/>
    <w:rsid w:val="2E013ACB"/>
    <w:rsid w:val="2E1168A9"/>
    <w:rsid w:val="2E171D47"/>
    <w:rsid w:val="2E234378"/>
    <w:rsid w:val="2E3B306D"/>
    <w:rsid w:val="2E667118"/>
    <w:rsid w:val="2E8D3859"/>
    <w:rsid w:val="2EAA7F8A"/>
    <w:rsid w:val="2ED56A49"/>
    <w:rsid w:val="2EDE1848"/>
    <w:rsid w:val="2F1131F5"/>
    <w:rsid w:val="2F3829CF"/>
    <w:rsid w:val="2F3831BE"/>
    <w:rsid w:val="2F3B0E65"/>
    <w:rsid w:val="2FC86A2C"/>
    <w:rsid w:val="2FF72750"/>
    <w:rsid w:val="2FF72DA2"/>
    <w:rsid w:val="2FF80EB4"/>
    <w:rsid w:val="300B7808"/>
    <w:rsid w:val="3065670B"/>
    <w:rsid w:val="310F23AD"/>
    <w:rsid w:val="311537B7"/>
    <w:rsid w:val="311F377A"/>
    <w:rsid w:val="313539B5"/>
    <w:rsid w:val="3163258B"/>
    <w:rsid w:val="31853836"/>
    <w:rsid w:val="318B0720"/>
    <w:rsid w:val="318F0CE5"/>
    <w:rsid w:val="319C0B7F"/>
    <w:rsid w:val="31AF6F69"/>
    <w:rsid w:val="31CC6F82"/>
    <w:rsid w:val="31DA46DB"/>
    <w:rsid w:val="321B4FE3"/>
    <w:rsid w:val="322515CB"/>
    <w:rsid w:val="3237251D"/>
    <w:rsid w:val="32843AED"/>
    <w:rsid w:val="328B231F"/>
    <w:rsid w:val="32952F4C"/>
    <w:rsid w:val="329A2D32"/>
    <w:rsid w:val="329E4165"/>
    <w:rsid w:val="32A23F73"/>
    <w:rsid w:val="32D974CB"/>
    <w:rsid w:val="32FD1B32"/>
    <w:rsid w:val="330229E9"/>
    <w:rsid w:val="33584A7B"/>
    <w:rsid w:val="33835B53"/>
    <w:rsid w:val="338D00FE"/>
    <w:rsid w:val="33A60D3F"/>
    <w:rsid w:val="33C87A09"/>
    <w:rsid w:val="33FF48DB"/>
    <w:rsid w:val="3424122A"/>
    <w:rsid w:val="342B0ADA"/>
    <w:rsid w:val="34D0452F"/>
    <w:rsid w:val="34D2072D"/>
    <w:rsid w:val="353006BF"/>
    <w:rsid w:val="357E68FC"/>
    <w:rsid w:val="35E501D3"/>
    <w:rsid w:val="35F44AE6"/>
    <w:rsid w:val="35F76F4D"/>
    <w:rsid w:val="363D46DF"/>
    <w:rsid w:val="364271DA"/>
    <w:rsid w:val="366F6862"/>
    <w:rsid w:val="36AD0BF6"/>
    <w:rsid w:val="36AD505E"/>
    <w:rsid w:val="36D047A4"/>
    <w:rsid w:val="36DC3552"/>
    <w:rsid w:val="37091E90"/>
    <w:rsid w:val="370B3BE4"/>
    <w:rsid w:val="372123AE"/>
    <w:rsid w:val="3725769B"/>
    <w:rsid w:val="37483293"/>
    <w:rsid w:val="37491867"/>
    <w:rsid w:val="375F7C0F"/>
    <w:rsid w:val="37991DE9"/>
    <w:rsid w:val="37AC5237"/>
    <w:rsid w:val="37B24AB3"/>
    <w:rsid w:val="37C64BFC"/>
    <w:rsid w:val="37D03E25"/>
    <w:rsid w:val="37E1553E"/>
    <w:rsid w:val="37F4637A"/>
    <w:rsid w:val="381A7DAE"/>
    <w:rsid w:val="382B6736"/>
    <w:rsid w:val="3836369F"/>
    <w:rsid w:val="383E3909"/>
    <w:rsid w:val="386202C2"/>
    <w:rsid w:val="387758ED"/>
    <w:rsid w:val="38860B35"/>
    <w:rsid w:val="38995E18"/>
    <w:rsid w:val="38D4638D"/>
    <w:rsid w:val="38EC5F48"/>
    <w:rsid w:val="39000AAB"/>
    <w:rsid w:val="391858B6"/>
    <w:rsid w:val="39486C50"/>
    <w:rsid w:val="397F1CE7"/>
    <w:rsid w:val="39FE23D7"/>
    <w:rsid w:val="3A0F4851"/>
    <w:rsid w:val="3A176DEC"/>
    <w:rsid w:val="3A1D4F68"/>
    <w:rsid w:val="3A325BDD"/>
    <w:rsid w:val="3A391926"/>
    <w:rsid w:val="3A483244"/>
    <w:rsid w:val="3A487C3D"/>
    <w:rsid w:val="3A6A35C8"/>
    <w:rsid w:val="3AA47C76"/>
    <w:rsid w:val="3AB331C1"/>
    <w:rsid w:val="3AC946FA"/>
    <w:rsid w:val="3B0C5A39"/>
    <w:rsid w:val="3B964459"/>
    <w:rsid w:val="3BBD602C"/>
    <w:rsid w:val="3BD26C93"/>
    <w:rsid w:val="3BD7422A"/>
    <w:rsid w:val="3C0C5A85"/>
    <w:rsid w:val="3C205501"/>
    <w:rsid w:val="3C3A0FC3"/>
    <w:rsid w:val="3C434119"/>
    <w:rsid w:val="3C44431A"/>
    <w:rsid w:val="3C5B5B90"/>
    <w:rsid w:val="3C664263"/>
    <w:rsid w:val="3C7F2914"/>
    <w:rsid w:val="3C903AD9"/>
    <w:rsid w:val="3C974345"/>
    <w:rsid w:val="3CE745E2"/>
    <w:rsid w:val="3D02114E"/>
    <w:rsid w:val="3D171DE2"/>
    <w:rsid w:val="3D1B426C"/>
    <w:rsid w:val="3D1D229A"/>
    <w:rsid w:val="3D347271"/>
    <w:rsid w:val="3D3F6F8E"/>
    <w:rsid w:val="3D525076"/>
    <w:rsid w:val="3DAB6501"/>
    <w:rsid w:val="3DAE5EC2"/>
    <w:rsid w:val="3E0E496F"/>
    <w:rsid w:val="3E645443"/>
    <w:rsid w:val="3E873BCC"/>
    <w:rsid w:val="3E92386B"/>
    <w:rsid w:val="3EBA4F1D"/>
    <w:rsid w:val="3ED44393"/>
    <w:rsid w:val="3EEA1BBC"/>
    <w:rsid w:val="3EEA2F2A"/>
    <w:rsid w:val="3F375C6B"/>
    <w:rsid w:val="3F386E6B"/>
    <w:rsid w:val="3F424B14"/>
    <w:rsid w:val="3F6C2C66"/>
    <w:rsid w:val="3F6F45DC"/>
    <w:rsid w:val="3FC90D91"/>
    <w:rsid w:val="3FD71C11"/>
    <w:rsid w:val="3FEA49BB"/>
    <w:rsid w:val="3FFF0C57"/>
    <w:rsid w:val="400B540A"/>
    <w:rsid w:val="40155F4B"/>
    <w:rsid w:val="403A1EAB"/>
    <w:rsid w:val="403D794B"/>
    <w:rsid w:val="40436D96"/>
    <w:rsid w:val="404A4D49"/>
    <w:rsid w:val="404B1143"/>
    <w:rsid w:val="406353E8"/>
    <w:rsid w:val="406700EE"/>
    <w:rsid w:val="40B150E4"/>
    <w:rsid w:val="40ED0AAF"/>
    <w:rsid w:val="412B15D8"/>
    <w:rsid w:val="414D2208"/>
    <w:rsid w:val="41581B97"/>
    <w:rsid w:val="416D38E5"/>
    <w:rsid w:val="41B07D19"/>
    <w:rsid w:val="41B94F4D"/>
    <w:rsid w:val="41EE0F25"/>
    <w:rsid w:val="41F352FB"/>
    <w:rsid w:val="41F419C0"/>
    <w:rsid w:val="420201BA"/>
    <w:rsid w:val="42022AAC"/>
    <w:rsid w:val="424909DA"/>
    <w:rsid w:val="42976056"/>
    <w:rsid w:val="429F7732"/>
    <w:rsid w:val="42AD5B00"/>
    <w:rsid w:val="42C03AFF"/>
    <w:rsid w:val="42CA196C"/>
    <w:rsid w:val="433B6F48"/>
    <w:rsid w:val="43530FB4"/>
    <w:rsid w:val="43537423"/>
    <w:rsid w:val="43647533"/>
    <w:rsid w:val="43A25C4E"/>
    <w:rsid w:val="43C55D14"/>
    <w:rsid w:val="43D53452"/>
    <w:rsid w:val="43DC27C8"/>
    <w:rsid w:val="43EB75B7"/>
    <w:rsid w:val="43EF5FA6"/>
    <w:rsid w:val="4425532C"/>
    <w:rsid w:val="446312EF"/>
    <w:rsid w:val="44817398"/>
    <w:rsid w:val="44DA535F"/>
    <w:rsid w:val="44FD37FF"/>
    <w:rsid w:val="4504461A"/>
    <w:rsid w:val="45427EEF"/>
    <w:rsid w:val="4557775E"/>
    <w:rsid w:val="455F0984"/>
    <w:rsid w:val="45876149"/>
    <w:rsid w:val="45953C20"/>
    <w:rsid w:val="45AE602C"/>
    <w:rsid w:val="46077D4C"/>
    <w:rsid w:val="46126AB5"/>
    <w:rsid w:val="461B10D3"/>
    <w:rsid w:val="46530DA1"/>
    <w:rsid w:val="46846B21"/>
    <w:rsid w:val="46A1659A"/>
    <w:rsid w:val="46A333B9"/>
    <w:rsid w:val="46D75240"/>
    <w:rsid w:val="46DA4400"/>
    <w:rsid w:val="471333CE"/>
    <w:rsid w:val="473F4AFD"/>
    <w:rsid w:val="47660AB5"/>
    <w:rsid w:val="47696E92"/>
    <w:rsid w:val="476B6BD2"/>
    <w:rsid w:val="478968E2"/>
    <w:rsid w:val="47BD5C9F"/>
    <w:rsid w:val="47BE6E79"/>
    <w:rsid w:val="47CE228E"/>
    <w:rsid w:val="48041A61"/>
    <w:rsid w:val="4823714E"/>
    <w:rsid w:val="482827D8"/>
    <w:rsid w:val="482E0FBB"/>
    <w:rsid w:val="48514CF5"/>
    <w:rsid w:val="48697159"/>
    <w:rsid w:val="4889438B"/>
    <w:rsid w:val="489A6DC3"/>
    <w:rsid w:val="48AA19EC"/>
    <w:rsid w:val="48AF7E4F"/>
    <w:rsid w:val="48BF1616"/>
    <w:rsid w:val="48CA54A3"/>
    <w:rsid w:val="494517A4"/>
    <w:rsid w:val="49817A9B"/>
    <w:rsid w:val="49BB14CE"/>
    <w:rsid w:val="49CB3016"/>
    <w:rsid w:val="49D04453"/>
    <w:rsid w:val="49D071C0"/>
    <w:rsid w:val="49DF1630"/>
    <w:rsid w:val="49E32654"/>
    <w:rsid w:val="49EA4AA7"/>
    <w:rsid w:val="4A437992"/>
    <w:rsid w:val="4A455A4A"/>
    <w:rsid w:val="4A5E0971"/>
    <w:rsid w:val="4A5E47CC"/>
    <w:rsid w:val="4A62606A"/>
    <w:rsid w:val="4A667F7A"/>
    <w:rsid w:val="4A6E4330"/>
    <w:rsid w:val="4AA70752"/>
    <w:rsid w:val="4AC20D3A"/>
    <w:rsid w:val="4B0213D5"/>
    <w:rsid w:val="4B2A660D"/>
    <w:rsid w:val="4B2D6E28"/>
    <w:rsid w:val="4B3E53D8"/>
    <w:rsid w:val="4B8650FC"/>
    <w:rsid w:val="4B9B27B8"/>
    <w:rsid w:val="4BA97CC9"/>
    <w:rsid w:val="4BEB0D3E"/>
    <w:rsid w:val="4BF54CBC"/>
    <w:rsid w:val="4C1A02CE"/>
    <w:rsid w:val="4C32594A"/>
    <w:rsid w:val="4C5A3A1A"/>
    <w:rsid w:val="4C5E02FF"/>
    <w:rsid w:val="4C5E3F83"/>
    <w:rsid w:val="4C9C3955"/>
    <w:rsid w:val="4CFC3B89"/>
    <w:rsid w:val="4D1B4BF6"/>
    <w:rsid w:val="4D41465D"/>
    <w:rsid w:val="4D733FD6"/>
    <w:rsid w:val="4D7A7DEC"/>
    <w:rsid w:val="4DA84AD3"/>
    <w:rsid w:val="4DCD7C9F"/>
    <w:rsid w:val="4DD2381A"/>
    <w:rsid w:val="4DFF0074"/>
    <w:rsid w:val="4E0F6B01"/>
    <w:rsid w:val="4E140F2E"/>
    <w:rsid w:val="4E4042A9"/>
    <w:rsid w:val="4E4F2DA9"/>
    <w:rsid w:val="4E6C5709"/>
    <w:rsid w:val="4E7411FA"/>
    <w:rsid w:val="4E9A3712"/>
    <w:rsid w:val="4EA876C9"/>
    <w:rsid w:val="4EB62E28"/>
    <w:rsid w:val="4EFE5132"/>
    <w:rsid w:val="4F0D2FAA"/>
    <w:rsid w:val="4F152410"/>
    <w:rsid w:val="4F3D4A43"/>
    <w:rsid w:val="4F4F46CF"/>
    <w:rsid w:val="4F970C5C"/>
    <w:rsid w:val="4FC1077C"/>
    <w:rsid w:val="4FCF118F"/>
    <w:rsid w:val="4FF0236A"/>
    <w:rsid w:val="504D5317"/>
    <w:rsid w:val="505B7909"/>
    <w:rsid w:val="50951A14"/>
    <w:rsid w:val="509A0304"/>
    <w:rsid w:val="50E75EE0"/>
    <w:rsid w:val="50F379D0"/>
    <w:rsid w:val="511C3FDF"/>
    <w:rsid w:val="51201B94"/>
    <w:rsid w:val="51265514"/>
    <w:rsid w:val="512775AA"/>
    <w:rsid w:val="515D3A2F"/>
    <w:rsid w:val="51650DEB"/>
    <w:rsid w:val="51B57D4D"/>
    <w:rsid w:val="51CD4DB9"/>
    <w:rsid w:val="51E829BB"/>
    <w:rsid w:val="52177DF4"/>
    <w:rsid w:val="521B27E6"/>
    <w:rsid w:val="522A286E"/>
    <w:rsid w:val="522C20D4"/>
    <w:rsid w:val="529F2C8A"/>
    <w:rsid w:val="52A3250B"/>
    <w:rsid w:val="52B600BA"/>
    <w:rsid w:val="52D83BBA"/>
    <w:rsid w:val="52E21896"/>
    <w:rsid w:val="53266987"/>
    <w:rsid w:val="532D46D9"/>
    <w:rsid w:val="533924A3"/>
    <w:rsid w:val="53484C31"/>
    <w:rsid w:val="537B019D"/>
    <w:rsid w:val="53967AE7"/>
    <w:rsid w:val="53A62813"/>
    <w:rsid w:val="53BD6A07"/>
    <w:rsid w:val="54173ACD"/>
    <w:rsid w:val="54576017"/>
    <w:rsid w:val="549F0670"/>
    <w:rsid w:val="54D36C5B"/>
    <w:rsid w:val="54EB4EAE"/>
    <w:rsid w:val="55040267"/>
    <w:rsid w:val="55823A64"/>
    <w:rsid w:val="5586776A"/>
    <w:rsid w:val="558F2125"/>
    <w:rsid w:val="559363A7"/>
    <w:rsid w:val="55B059A5"/>
    <w:rsid w:val="55D01016"/>
    <w:rsid w:val="5605308E"/>
    <w:rsid w:val="56084346"/>
    <w:rsid w:val="562E70CC"/>
    <w:rsid w:val="56375B84"/>
    <w:rsid w:val="564470D2"/>
    <w:rsid w:val="568D5BE1"/>
    <w:rsid w:val="56A8647D"/>
    <w:rsid w:val="56BB6A2E"/>
    <w:rsid w:val="56D7393C"/>
    <w:rsid w:val="56DE2701"/>
    <w:rsid w:val="57007FC6"/>
    <w:rsid w:val="57343A6C"/>
    <w:rsid w:val="57443AB3"/>
    <w:rsid w:val="574657F1"/>
    <w:rsid w:val="5757109B"/>
    <w:rsid w:val="57652DC2"/>
    <w:rsid w:val="578A4BF7"/>
    <w:rsid w:val="579B3F05"/>
    <w:rsid w:val="579E445A"/>
    <w:rsid w:val="57E31B48"/>
    <w:rsid w:val="586E36A6"/>
    <w:rsid w:val="588144B9"/>
    <w:rsid w:val="589D7786"/>
    <w:rsid w:val="58AA1299"/>
    <w:rsid w:val="58C63437"/>
    <w:rsid w:val="58CD18BE"/>
    <w:rsid w:val="58FF5129"/>
    <w:rsid w:val="59030A18"/>
    <w:rsid w:val="5915703C"/>
    <w:rsid w:val="59211DC2"/>
    <w:rsid w:val="592A08C4"/>
    <w:rsid w:val="594B0503"/>
    <w:rsid w:val="59947126"/>
    <w:rsid w:val="59A37C9B"/>
    <w:rsid w:val="59B96BD2"/>
    <w:rsid w:val="59DD1E65"/>
    <w:rsid w:val="59E06FAB"/>
    <w:rsid w:val="5A271F8F"/>
    <w:rsid w:val="5A2A05D7"/>
    <w:rsid w:val="5A475FA7"/>
    <w:rsid w:val="5A625C12"/>
    <w:rsid w:val="5A680784"/>
    <w:rsid w:val="5A91210F"/>
    <w:rsid w:val="5A9A53AC"/>
    <w:rsid w:val="5AB55CF3"/>
    <w:rsid w:val="5AC76DE8"/>
    <w:rsid w:val="5AE10932"/>
    <w:rsid w:val="5AF75705"/>
    <w:rsid w:val="5B024480"/>
    <w:rsid w:val="5B05259D"/>
    <w:rsid w:val="5B0B7296"/>
    <w:rsid w:val="5B1C7423"/>
    <w:rsid w:val="5B3A4B3B"/>
    <w:rsid w:val="5B687259"/>
    <w:rsid w:val="5B687DE4"/>
    <w:rsid w:val="5B972FB3"/>
    <w:rsid w:val="5BA21E3C"/>
    <w:rsid w:val="5BCD2674"/>
    <w:rsid w:val="5BD81F10"/>
    <w:rsid w:val="5BD97F8C"/>
    <w:rsid w:val="5BDD36E3"/>
    <w:rsid w:val="5BF842F7"/>
    <w:rsid w:val="5BFA158B"/>
    <w:rsid w:val="5C022A31"/>
    <w:rsid w:val="5C285197"/>
    <w:rsid w:val="5C295692"/>
    <w:rsid w:val="5C4C6173"/>
    <w:rsid w:val="5C6519F1"/>
    <w:rsid w:val="5C7B2FBB"/>
    <w:rsid w:val="5C87703F"/>
    <w:rsid w:val="5C8D1C5F"/>
    <w:rsid w:val="5C9B6F59"/>
    <w:rsid w:val="5CB5529D"/>
    <w:rsid w:val="5CB8136C"/>
    <w:rsid w:val="5CCC00B8"/>
    <w:rsid w:val="5CCE3A33"/>
    <w:rsid w:val="5D667A06"/>
    <w:rsid w:val="5D811B69"/>
    <w:rsid w:val="5D82610C"/>
    <w:rsid w:val="5DB1138B"/>
    <w:rsid w:val="5DB6304A"/>
    <w:rsid w:val="5DF54C38"/>
    <w:rsid w:val="5E386C91"/>
    <w:rsid w:val="5E477670"/>
    <w:rsid w:val="5EA42C9D"/>
    <w:rsid w:val="5EB24909"/>
    <w:rsid w:val="5EFB3230"/>
    <w:rsid w:val="5F11290E"/>
    <w:rsid w:val="5F530520"/>
    <w:rsid w:val="5F5657BD"/>
    <w:rsid w:val="5F8623A3"/>
    <w:rsid w:val="5F8E0B5E"/>
    <w:rsid w:val="5F93616B"/>
    <w:rsid w:val="5FBB59F7"/>
    <w:rsid w:val="5FD1396F"/>
    <w:rsid w:val="5FE33352"/>
    <w:rsid w:val="60485B0B"/>
    <w:rsid w:val="606F5341"/>
    <w:rsid w:val="607B6D37"/>
    <w:rsid w:val="608926A1"/>
    <w:rsid w:val="60C70EC5"/>
    <w:rsid w:val="60D206ED"/>
    <w:rsid w:val="610E43D3"/>
    <w:rsid w:val="613320B7"/>
    <w:rsid w:val="616053ED"/>
    <w:rsid w:val="616E6A18"/>
    <w:rsid w:val="61723D1B"/>
    <w:rsid w:val="617D0302"/>
    <w:rsid w:val="61AC7CC1"/>
    <w:rsid w:val="620677CB"/>
    <w:rsid w:val="62195750"/>
    <w:rsid w:val="624B2FA2"/>
    <w:rsid w:val="626913A7"/>
    <w:rsid w:val="62742987"/>
    <w:rsid w:val="627B0E89"/>
    <w:rsid w:val="62C26D65"/>
    <w:rsid w:val="62F43847"/>
    <w:rsid w:val="630B5D90"/>
    <w:rsid w:val="63230B14"/>
    <w:rsid w:val="63246DB1"/>
    <w:rsid w:val="634B7676"/>
    <w:rsid w:val="63A461D4"/>
    <w:rsid w:val="63F73450"/>
    <w:rsid w:val="640D7E45"/>
    <w:rsid w:val="64152A95"/>
    <w:rsid w:val="64467B06"/>
    <w:rsid w:val="647E1B80"/>
    <w:rsid w:val="64807599"/>
    <w:rsid w:val="64897A59"/>
    <w:rsid w:val="651B6336"/>
    <w:rsid w:val="656C2F0A"/>
    <w:rsid w:val="6582606C"/>
    <w:rsid w:val="65CB24E6"/>
    <w:rsid w:val="65D23276"/>
    <w:rsid w:val="661C25AC"/>
    <w:rsid w:val="66372445"/>
    <w:rsid w:val="66AE45FB"/>
    <w:rsid w:val="66B93974"/>
    <w:rsid w:val="66BA2932"/>
    <w:rsid w:val="66C142B3"/>
    <w:rsid w:val="66EB166F"/>
    <w:rsid w:val="66ED0F5A"/>
    <w:rsid w:val="66ED4BD4"/>
    <w:rsid w:val="671604B0"/>
    <w:rsid w:val="6721001D"/>
    <w:rsid w:val="67225ABC"/>
    <w:rsid w:val="675208F3"/>
    <w:rsid w:val="6753700F"/>
    <w:rsid w:val="67725A4C"/>
    <w:rsid w:val="67762CFD"/>
    <w:rsid w:val="67D86470"/>
    <w:rsid w:val="67E91E66"/>
    <w:rsid w:val="67F13EF7"/>
    <w:rsid w:val="683D35E5"/>
    <w:rsid w:val="68531926"/>
    <w:rsid w:val="68886604"/>
    <w:rsid w:val="68967BBF"/>
    <w:rsid w:val="68A734A3"/>
    <w:rsid w:val="68AA7A41"/>
    <w:rsid w:val="68D700DE"/>
    <w:rsid w:val="68EF4A2C"/>
    <w:rsid w:val="690224DE"/>
    <w:rsid w:val="69747859"/>
    <w:rsid w:val="69BD5F40"/>
    <w:rsid w:val="69BF4934"/>
    <w:rsid w:val="69CB7928"/>
    <w:rsid w:val="6A097B4C"/>
    <w:rsid w:val="6A1E71C0"/>
    <w:rsid w:val="6A334F6E"/>
    <w:rsid w:val="6A3815AD"/>
    <w:rsid w:val="6A5B2130"/>
    <w:rsid w:val="6A5E4281"/>
    <w:rsid w:val="6A683212"/>
    <w:rsid w:val="6A7539A0"/>
    <w:rsid w:val="6A8D23C1"/>
    <w:rsid w:val="6AA15BF3"/>
    <w:rsid w:val="6AA87672"/>
    <w:rsid w:val="6AB133C0"/>
    <w:rsid w:val="6AC87511"/>
    <w:rsid w:val="6AD172DE"/>
    <w:rsid w:val="6AE4516D"/>
    <w:rsid w:val="6B193C07"/>
    <w:rsid w:val="6B413622"/>
    <w:rsid w:val="6B435DE8"/>
    <w:rsid w:val="6B5178BB"/>
    <w:rsid w:val="6B566602"/>
    <w:rsid w:val="6BA73DCD"/>
    <w:rsid w:val="6BAA0756"/>
    <w:rsid w:val="6BB84A2A"/>
    <w:rsid w:val="6BEE6C73"/>
    <w:rsid w:val="6C0F121C"/>
    <w:rsid w:val="6C107A6C"/>
    <w:rsid w:val="6C292A34"/>
    <w:rsid w:val="6C2F3BCF"/>
    <w:rsid w:val="6C4619B3"/>
    <w:rsid w:val="6C4B12E7"/>
    <w:rsid w:val="6C640219"/>
    <w:rsid w:val="6C8A79A3"/>
    <w:rsid w:val="6CC14961"/>
    <w:rsid w:val="6CCA7DB8"/>
    <w:rsid w:val="6D1226CF"/>
    <w:rsid w:val="6D567859"/>
    <w:rsid w:val="6D7B2F5E"/>
    <w:rsid w:val="6DB07B0E"/>
    <w:rsid w:val="6DD2120D"/>
    <w:rsid w:val="6DD5603E"/>
    <w:rsid w:val="6E667FFD"/>
    <w:rsid w:val="6E697118"/>
    <w:rsid w:val="6EA44678"/>
    <w:rsid w:val="6EB26237"/>
    <w:rsid w:val="6ED02CAE"/>
    <w:rsid w:val="6EDB52E8"/>
    <w:rsid w:val="6F0528C7"/>
    <w:rsid w:val="6F281730"/>
    <w:rsid w:val="6F4C508B"/>
    <w:rsid w:val="6F6A0E5B"/>
    <w:rsid w:val="6F9B53AE"/>
    <w:rsid w:val="6F9F6B55"/>
    <w:rsid w:val="6FDD4381"/>
    <w:rsid w:val="6FE0384A"/>
    <w:rsid w:val="6FE949B4"/>
    <w:rsid w:val="705318FA"/>
    <w:rsid w:val="70537063"/>
    <w:rsid w:val="7063110F"/>
    <w:rsid w:val="70762802"/>
    <w:rsid w:val="70A11236"/>
    <w:rsid w:val="70AA3072"/>
    <w:rsid w:val="70B7060E"/>
    <w:rsid w:val="70D03810"/>
    <w:rsid w:val="70DC3A71"/>
    <w:rsid w:val="70FB2EC5"/>
    <w:rsid w:val="710650F2"/>
    <w:rsid w:val="71131914"/>
    <w:rsid w:val="711A1479"/>
    <w:rsid w:val="711F4922"/>
    <w:rsid w:val="71A4028E"/>
    <w:rsid w:val="723220A4"/>
    <w:rsid w:val="72451F40"/>
    <w:rsid w:val="724C122A"/>
    <w:rsid w:val="726C715F"/>
    <w:rsid w:val="72793C83"/>
    <w:rsid w:val="728B141A"/>
    <w:rsid w:val="72B0266E"/>
    <w:rsid w:val="72D85B9E"/>
    <w:rsid w:val="72E476B5"/>
    <w:rsid w:val="72E8797E"/>
    <w:rsid w:val="72FF7082"/>
    <w:rsid w:val="73076907"/>
    <w:rsid w:val="73111CA6"/>
    <w:rsid w:val="73263829"/>
    <w:rsid w:val="73653CF6"/>
    <w:rsid w:val="739629B5"/>
    <w:rsid w:val="73C123F0"/>
    <w:rsid w:val="741A54B2"/>
    <w:rsid w:val="7443464E"/>
    <w:rsid w:val="74485A21"/>
    <w:rsid w:val="74610AB6"/>
    <w:rsid w:val="748E2346"/>
    <w:rsid w:val="74D53759"/>
    <w:rsid w:val="74D92255"/>
    <w:rsid w:val="74E44D91"/>
    <w:rsid w:val="75202D77"/>
    <w:rsid w:val="75297601"/>
    <w:rsid w:val="755A1EB0"/>
    <w:rsid w:val="759E5E9B"/>
    <w:rsid w:val="75BB0D7A"/>
    <w:rsid w:val="75BF1D13"/>
    <w:rsid w:val="761B6B65"/>
    <w:rsid w:val="7634544A"/>
    <w:rsid w:val="76B25A18"/>
    <w:rsid w:val="7705525C"/>
    <w:rsid w:val="770F1248"/>
    <w:rsid w:val="77C75567"/>
    <w:rsid w:val="786E6744"/>
    <w:rsid w:val="78CB784B"/>
    <w:rsid w:val="78D97A24"/>
    <w:rsid w:val="78DA3384"/>
    <w:rsid w:val="78EE6B97"/>
    <w:rsid w:val="78FD502C"/>
    <w:rsid w:val="790E548B"/>
    <w:rsid w:val="7913612F"/>
    <w:rsid w:val="79216A62"/>
    <w:rsid w:val="79667F09"/>
    <w:rsid w:val="79690625"/>
    <w:rsid w:val="797637F3"/>
    <w:rsid w:val="79A5159C"/>
    <w:rsid w:val="79A5662B"/>
    <w:rsid w:val="79B302EA"/>
    <w:rsid w:val="79C76586"/>
    <w:rsid w:val="79E73A1B"/>
    <w:rsid w:val="79E955B1"/>
    <w:rsid w:val="7A1D578F"/>
    <w:rsid w:val="7A47364C"/>
    <w:rsid w:val="7A6D024B"/>
    <w:rsid w:val="7AB43D60"/>
    <w:rsid w:val="7AB7702E"/>
    <w:rsid w:val="7AC946D9"/>
    <w:rsid w:val="7AE00EE0"/>
    <w:rsid w:val="7AEF4E49"/>
    <w:rsid w:val="7AFE6E3A"/>
    <w:rsid w:val="7B113CE0"/>
    <w:rsid w:val="7B27393F"/>
    <w:rsid w:val="7B3B7567"/>
    <w:rsid w:val="7B4E7DC1"/>
    <w:rsid w:val="7B543DD0"/>
    <w:rsid w:val="7B7A2964"/>
    <w:rsid w:val="7B8B729D"/>
    <w:rsid w:val="7C020BE2"/>
    <w:rsid w:val="7C271E59"/>
    <w:rsid w:val="7C365F96"/>
    <w:rsid w:val="7C47426D"/>
    <w:rsid w:val="7C7652FE"/>
    <w:rsid w:val="7C7D27D7"/>
    <w:rsid w:val="7CDC29D3"/>
    <w:rsid w:val="7D06483F"/>
    <w:rsid w:val="7D3D00ED"/>
    <w:rsid w:val="7D587548"/>
    <w:rsid w:val="7D60018E"/>
    <w:rsid w:val="7D9D080D"/>
    <w:rsid w:val="7DBD122E"/>
    <w:rsid w:val="7DD21407"/>
    <w:rsid w:val="7E6E3494"/>
    <w:rsid w:val="7ECC0E1F"/>
    <w:rsid w:val="7EE51FC5"/>
    <w:rsid w:val="7EEA2B74"/>
    <w:rsid w:val="7F215EB4"/>
    <w:rsid w:val="7F262D78"/>
    <w:rsid w:val="7F8A5397"/>
    <w:rsid w:val="7F8B4C02"/>
    <w:rsid w:val="7FE115B6"/>
    <w:rsid w:val="7FE24A7D"/>
    <w:rsid w:val="7FEC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color w:val="000000"/>
      <w:sz w:val="21"/>
      <w:szCs w:val="22"/>
      <w:lang w:val="en-US" w:eastAsia="zh-CN" w:bidi="ar-SA"/>
    </w:rPr>
  </w:style>
  <w:style w:type="paragraph" w:styleId="2">
    <w:name w:val="heading 1"/>
    <w:basedOn w:val="1"/>
    <w:next w:val="1"/>
    <w:link w:val="133"/>
    <w:qFormat/>
    <w:uiPriority w:val="0"/>
    <w:pPr>
      <w:keepNext/>
      <w:keepLines/>
      <w:spacing w:before="340" w:after="330"/>
      <w:jc w:val="center"/>
      <w:outlineLvl w:val="0"/>
    </w:pPr>
    <w:rPr>
      <w:rFonts w:ascii="Calibri" w:hAnsi="Calibri" w:cs="Times New Roman"/>
      <w:b/>
      <w:sz w:val="32"/>
      <w:szCs w:val="44"/>
    </w:rPr>
  </w:style>
  <w:style w:type="paragraph" w:styleId="3">
    <w:name w:val="heading 2"/>
    <w:basedOn w:val="1"/>
    <w:next w:val="1"/>
    <w:link w:val="127"/>
    <w:qFormat/>
    <w:uiPriority w:val="0"/>
    <w:pPr>
      <w:keepNext/>
      <w:keepLines/>
      <w:spacing w:before="260" w:after="260"/>
      <w:jc w:val="center"/>
      <w:outlineLvl w:val="1"/>
    </w:pPr>
    <w:rPr>
      <w:rFonts w:ascii="Cambria" w:hAnsi="Cambria" w:cs="Times New Roman"/>
      <w:sz w:val="30"/>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paragraph" w:styleId="5">
    <w:name w:val="heading 4"/>
    <w:basedOn w:val="1"/>
    <w:next w:val="1"/>
    <w:qFormat/>
    <w:uiPriority w:val="0"/>
    <w:pPr>
      <w:keepNext/>
      <w:keepLines/>
      <w:spacing w:before="280" w:after="290" w:line="374" w:lineRule="auto"/>
      <w:outlineLvl w:val="3"/>
    </w:pPr>
    <w:rPr>
      <w:rFonts w:ascii="Cambria" w:hAnsi="Cambria"/>
      <w:b/>
      <w:sz w:val="28"/>
      <w:szCs w:val="28"/>
    </w:rPr>
  </w:style>
  <w:style w:type="paragraph" w:styleId="6">
    <w:name w:val="heading 5"/>
    <w:basedOn w:val="1"/>
    <w:next w:val="1"/>
    <w:link w:val="204"/>
    <w:qFormat/>
    <w:uiPriority w:val="0"/>
    <w:pPr>
      <w:keepNext/>
      <w:keepLines/>
      <w:numPr>
        <w:ilvl w:val="4"/>
        <w:numId w:val="1"/>
      </w:numPr>
      <w:tabs>
        <w:tab w:val="left" w:pos="3827"/>
      </w:tabs>
      <w:spacing w:line="360" w:lineRule="auto"/>
      <w:outlineLvl w:val="4"/>
    </w:pPr>
    <w:rPr>
      <w:rFonts w:eastAsia="黑体" w:cs="Times New Roman"/>
      <w:color w:val="auto"/>
      <w:kern w:val="2"/>
      <w:szCs w:val="20"/>
    </w:rPr>
  </w:style>
  <w:style w:type="paragraph" w:styleId="7">
    <w:name w:val="heading 6"/>
    <w:basedOn w:val="1"/>
    <w:next w:val="1"/>
    <w:link w:val="166"/>
    <w:qFormat/>
    <w:uiPriority w:val="0"/>
    <w:pPr>
      <w:keepNext/>
      <w:keepLines/>
      <w:numPr>
        <w:ilvl w:val="5"/>
        <w:numId w:val="1"/>
      </w:numPr>
      <w:tabs>
        <w:tab w:val="left" w:pos="4677"/>
      </w:tabs>
      <w:spacing w:before="240" w:after="64" w:line="317" w:lineRule="auto"/>
      <w:outlineLvl w:val="5"/>
    </w:pPr>
    <w:rPr>
      <w:rFonts w:ascii="Arial" w:hAnsi="Arial" w:eastAsia="黑体" w:cs="Times New Roman"/>
      <w:b/>
      <w:color w:val="auto"/>
      <w:kern w:val="2"/>
      <w:sz w:val="24"/>
      <w:szCs w:val="20"/>
    </w:rPr>
  </w:style>
  <w:style w:type="paragraph" w:styleId="8">
    <w:name w:val="heading 7"/>
    <w:basedOn w:val="1"/>
    <w:next w:val="1"/>
    <w:autoRedefine/>
    <w:qFormat/>
    <w:uiPriority w:val="0"/>
    <w:pPr>
      <w:keepNext/>
      <w:keepLines/>
      <w:spacing w:before="240" w:after="64" w:line="319" w:lineRule="auto"/>
      <w:outlineLvl w:val="6"/>
    </w:pPr>
    <w:rPr>
      <w:b/>
      <w:sz w:val="24"/>
      <w:szCs w:val="24"/>
    </w:rPr>
  </w:style>
  <w:style w:type="paragraph" w:styleId="9">
    <w:name w:val="heading 8"/>
    <w:basedOn w:val="1"/>
    <w:next w:val="1"/>
    <w:link w:val="167"/>
    <w:qFormat/>
    <w:uiPriority w:val="0"/>
    <w:pPr>
      <w:keepNext/>
      <w:keepLines/>
      <w:numPr>
        <w:ilvl w:val="7"/>
        <w:numId w:val="1"/>
      </w:numPr>
      <w:tabs>
        <w:tab w:val="left" w:pos="6378"/>
      </w:tabs>
      <w:spacing w:before="240" w:after="64" w:line="317" w:lineRule="auto"/>
      <w:outlineLvl w:val="7"/>
    </w:pPr>
    <w:rPr>
      <w:rFonts w:ascii="Arial" w:hAnsi="Arial" w:eastAsia="黑体" w:cs="Times New Roman"/>
      <w:color w:val="auto"/>
      <w:kern w:val="2"/>
      <w:sz w:val="24"/>
      <w:szCs w:val="20"/>
    </w:rPr>
  </w:style>
  <w:style w:type="paragraph" w:styleId="10">
    <w:name w:val="heading 9"/>
    <w:basedOn w:val="1"/>
    <w:next w:val="1"/>
    <w:link w:val="168"/>
    <w:qFormat/>
    <w:uiPriority w:val="0"/>
    <w:pPr>
      <w:keepNext/>
      <w:keepLines/>
      <w:numPr>
        <w:ilvl w:val="8"/>
        <w:numId w:val="1"/>
      </w:numPr>
      <w:tabs>
        <w:tab w:val="left" w:pos="7228"/>
      </w:tabs>
      <w:spacing w:before="240" w:after="64" w:line="317" w:lineRule="auto"/>
      <w:outlineLvl w:val="8"/>
    </w:pPr>
    <w:rPr>
      <w:rFonts w:ascii="Arial" w:hAnsi="Arial" w:eastAsia="黑体" w:cs="Times New Roman"/>
      <w:color w:val="auto"/>
      <w:kern w:val="2"/>
      <w:szCs w:val="20"/>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cs="Times New Roman"/>
      <w:color w:val="auto"/>
      <w:kern w:val="2"/>
      <w:szCs w:val="20"/>
    </w:rPr>
  </w:style>
  <w:style w:type="paragraph" w:styleId="12">
    <w:name w:val="List Number 2"/>
    <w:basedOn w:val="1"/>
    <w:qFormat/>
    <w:uiPriority w:val="0"/>
    <w:pPr>
      <w:numPr>
        <w:ilvl w:val="0"/>
        <w:numId w:val="2"/>
      </w:numPr>
      <w:tabs>
        <w:tab w:val="left" w:pos="780"/>
      </w:tabs>
    </w:pPr>
    <w:rPr>
      <w:rFonts w:cs="Times New Roman"/>
      <w:color w:val="auto"/>
      <w:kern w:val="2"/>
      <w:szCs w:val="20"/>
    </w:rPr>
  </w:style>
  <w:style w:type="paragraph" w:styleId="13">
    <w:name w:val="Note Heading"/>
    <w:basedOn w:val="1"/>
    <w:next w:val="1"/>
    <w:link w:val="226"/>
    <w:qFormat/>
    <w:uiPriority w:val="0"/>
    <w:pPr>
      <w:jc w:val="center"/>
    </w:pPr>
    <w:rPr>
      <w:rFonts w:cs="Times New Roman"/>
      <w:color w:val="auto"/>
      <w:kern w:val="2"/>
      <w:szCs w:val="20"/>
    </w:rPr>
  </w:style>
  <w:style w:type="paragraph" w:styleId="14">
    <w:name w:val="List Bullet 4"/>
    <w:basedOn w:val="1"/>
    <w:qFormat/>
    <w:uiPriority w:val="0"/>
    <w:pPr>
      <w:numPr>
        <w:ilvl w:val="0"/>
        <w:numId w:val="3"/>
      </w:numPr>
      <w:tabs>
        <w:tab w:val="left" w:pos="1620"/>
      </w:tabs>
    </w:pPr>
    <w:rPr>
      <w:rFonts w:cs="Times New Roman"/>
      <w:color w:val="auto"/>
      <w:kern w:val="2"/>
      <w:szCs w:val="20"/>
    </w:rPr>
  </w:style>
  <w:style w:type="paragraph" w:styleId="15">
    <w:name w:val="index 8"/>
    <w:basedOn w:val="1"/>
    <w:next w:val="1"/>
    <w:qFormat/>
    <w:uiPriority w:val="0"/>
    <w:pPr>
      <w:ind w:left="1400" w:leftChars="1400"/>
    </w:pPr>
    <w:rPr>
      <w:rFonts w:eastAsia="仿宋_GB2312" w:cs="Times New Roman"/>
      <w:color w:val="auto"/>
      <w:kern w:val="2"/>
      <w:sz w:val="28"/>
      <w:szCs w:val="20"/>
    </w:rPr>
  </w:style>
  <w:style w:type="paragraph" w:styleId="16">
    <w:name w:val="E-mail Signature"/>
    <w:basedOn w:val="1"/>
    <w:link w:val="328"/>
    <w:qFormat/>
    <w:uiPriority w:val="0"/>
    <w:rPr>
      <w:rFonts w:cs="Times New Roman"/>
      <w:color w:val="auto"/>
      <w:kern w:val="2"/>
      <w:szCs w:val="20"/>
    </w:rPr>
  </w:style>
  <w:style w:type="paragraph" w:styleId="17">
    <w:name w:val="List Number"/>
    <w:basedOn w:val="1"/>
    <w:qFormat/>
    <w:uiPriority w:val="0"/>
    <w:pPr>
      <w:numPr>
        <w:ilvl w:val="0"/>
        <w:numId w:val="4"/>
      </w:numPr>
      <w:tabs>
        <w:tab w:val="left" w:pos="360"/>
      </w:tabs>
    </w:pPr>
    <w:rPr>
      <w:rFonts w:cs="Times New Roman"/>
      <w:color w:val="auto"/>
      <w:kern w:val="2"/>
      <w:szCs w:val="20"/>
    </w:rPr>
  </w:style>
  <w:style w:type="paragraph" w:styleId="18">
    <w:name w:val="Normal Indent"/>
    <w:basedOn w:val="1"/>
    <w:link w:val="179"/>
    <w:autoRedefine/>
    <w:qFormat/>
    <w:uiPriority w:val="0"/>
    <w:pPr>
      <w:ind w:firstLine="200"/>
    </w:pPr>
    <w:rPr>
      <w:kern w:val="1"/>
      <w:lang w:val="zh-CN"/>
    </w:rPr>
  </w:style>
  <w:style w:type="paragraph" w:styleId="19">
    <w:name w:val="caption"/>
    <w:basedOn w:val="1"/>
    <w:next w:val="1"/>
    <w:qFormat/>
    <w:uiPriority w:val="0"/>
    <w:pPr>
      <w:spacing w:before="152" w:after="160"/>
    </w:pPr>
    <w:rPr>
      <w:rFonts w:ascii="Arial" w:hAnsi="Arial" w:eastAsia="黑体" w:cs="Times New Roman"/>
      <w:color w:val="auto"/>
      <w:kern w:val="2"/>
      <w:sz w:val="20"/>
      <w:szCs w:val="20"/>
    </w:rPr>
  </w:style>
  <w:style w:type="paragraph" w:styleId="20">
    <w:name w:val="index 5"/>
    <w:basedOn w:val="1"/>
    <w:next w:val="1"/>
    <w:qFormat/>
    <w:uiPriority w:val="0"/>
    <w:pPr>
      <w:ind w:left="800" w:leftChars="800"/>
    </w:pPr>
    <w:rPr>
      <w:rFonts w:eastAsia="仿宋_GB2312" w:cs="Times New Roman"/>
      <w:color w:val="auto"/>
      <w:kern w:val="2"/>
      <w:sz w:val="28"/>
      <w:szCs w:val="20"/>
    </w:rPr>
  </w:style>
  <w:style w:type="paragraph" w:styleId="21">
    <w:name w:val="List Bullet"/>
    <w:basedOn w:val="1"/>
    <w:qFormat/>
    <w:uiPriority w:val="0"/>
    <w:pPr>
      <w:numPr>
        <w:ilvl w:val="0"/>
        <w:numId w:val="5"/>
      </w:numPr>
      <w:tabs>
        <w:tab w:val="left" w:pos="360"/>
      </w:tabs>
    </w:pPr>
    <w:rPr>
      <w:rFonts w:cs="Times New Roman"/>
      <w:color w:val="auto"/>
      <w:kern w:val="2"/>
      <w:szCs w:val="20"/>
    </w:rPr>
  </w:style>
  <w:style w:type="paragraph" w:styleId="22">
    <w:name w:val="envelope address"/>
    <w:basedOn w:val="1"/>
    <w:qFormat/>
    <w:uiPriority w:val="0"/>
    <w:pPr>
      <w:snapToGrid w:val="0"/>
      <w:ind w:left="2880"/>
    </w:pPr>
    <w:rPr>
      <w:rFonts w:ascii="Arial" w:hAnsi="Arial" w:cs="Times New Roman"/>
      <w:color w:val="auto"/>
      <w:kern w:val="2"/>
      <w:sz w:val="24"/>
      <w:szCs w:val="20"/>
    </w:rPr>
  </w:style>
  <w:style w:type="paragraph" w:styleId="23">
    <w:name w:val="Document Map"/>
    <w:basedOn w:val="1"/>
    <w:link w:val="130"/>
    <w:autoRedefine/>
    <w:qFormat/>
    <w:uiPriority w:val="0"/>
    <w:rPr>
      <w:rFonts w:ascii="宋体" w:cs="Times New Roman"/>
      <w:sz w:val="18"/>
      <w:szCs w:val="18"/>
    </w:rPr>
  </w:style>
  <w:style w:type="paragraph" w:styleId="24">
    <w:name w:val="annotation text"/>
    <w:basedOn w:val="1"/>
    <w:autoRedefine/>
    <w:qFormat/>
    <w:uiPriority w:val="0"/>
    <w:pPr>
      <w:jc w:val="left"/>
    </w:pPr>
    <w:rPr>
      <w:kern w:val="1"/>
    </w:rPr>
  </w:style>
  <w:style w:type="paragraph" w:styleId="25">
    <w:name w:val="index 6"/>
    <w:basedOn w:val="1"/>
    <w:next w:val="1"/>
    <w:qFormat/>
    <w:uiPriority w:val="0"/>
    <w:pPr>
      <w:ind w:left="1000" w:leftChars="1000"/>
    </w:pPr>
    <w:rPr>
      <w:rFonts w:eastAsia="仿宋_GB2312" w:cs="Times New Roman"/>
      <w:color w:val="auto"/>
      <w:kern w:val="2"/>
      <w:sz w:val="28"/>
      <w:szCs w:val="20"/>
    </w:rPr>
  </w:style>
  <w:style w:type="paragraph" w:styleId="26">
    <w:name w:val="Salutation"/>
    <w:basedOn w:val="1"/>
    <w:next w:val="1"/>
    <w:link w:val="275"/>
    <w:qFormat/>
    <w:uiPriority w:val="0"/>
    <w:rPr>
      <w:rFonts w:cs="Times New Roman"/>
      <w:color w:val="auto"/>
      <w:kern w:val="2"/>
      <w:szCs w:val="20"/>
    </w:rPr>
  </w:style>
  <w:style w:type="paragraph" w:styleId="27">
    <w:name w:val="Body Text 3"/>
    <w:basedOn w:val="1"/>
    <w:link w:val="263"/>
    <w:qFormat/>
    <w:uiPriority w:val="0"/>
    <w:pPr>
      <w:spacing w:after="120"/>
    </w:pPr>
    <w:rPr>
      <w:rFonts w:cs="Times New Roman"/>
      <w:color w:val="auto"/>
      <w:kern w:val="2"/>
      <w:sz w:val="16"/>
      <w:szCs w:val="20"/>
    </w:rPr>
  </w:style>
  <w:style w:type="paragraph" w:styleId="28">
    <w:name w:val="Closing"/>
    <w:basedOn w:val="1"/>
    <w:link w:val="323"/>
    <w:qFormat/>
    <w:uiPriority w:val="0"/>
    <w:pPr>
      <w:ind w:left="4320"/>
    </w:pPr>
    <w:rPr>
      <w:rFonts w:cs="Times New Roman"/>
      <w:color w:val="auto"/>
      <w:kern w:val="2"/>
      <w:szCs w:val="20"/>
    </w:rPr>
  </w:style>
  <w:style w:type="paragraph" w:styleId="29">
    <w:name w:val="List Bullet 3"/>
    <w:basedOn w:val="1"/>
    <w:qFormat/>
    <w:uiPriority w:val="0"/>
    <w:pPr>
      <w:numPr>
        <w:ilvl w:val="0"/>
        <w:numId w:val="6"/>
      </w:numPr>
      <w:tabs>
        <w:tab w:val="left" w:pos="1200"/>
      </w:tabs>
    </w:pPr>
    <w:rPr>
      <w:rFonts w:cs="Times New Roman"/>
      <w:color w:val="auto"/>
      <w:kern w:val="2"/>
      <w:szCs w:val="20"/>
    </w:rPr>
  </w:style>
  <w:style w:type="paragraph" w:styleId="30">
    <w:name w:val="Body Text"/>
    <w:basedOn w:val="1"/>
    <w:next w:val="31"/>
    <w:link w:val="124"/>
    <w:autoRedefine/>
    <w:qFormat/>
    <w:uiPriority w:val="0"/>
    <w:pPr>
      <w:spacing w:after="120"/>
    </w:pPr>
    <w:rPr>
      <w:rFonts w:cs="Times New Roman"/>
      <w:kern w:val="1"/>
    </w:rPr>
  </w:style>
  <w:style w:type="paragraph" w:styleId="31">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32">
    <w:name w:val="Body Text Indent"/>
    <w:basedOn w:val="1"/>
    <w:link w:val="121"/>
    <w:autoRedefine/>
    <w:qFormat/>
    <w:uiPriority w:val="0"/>
    <w:pPr>
      <w:spacing w:after="120"/>
      <w:ind w:left="420" w:leftChars="200"/>
    </w:pPr>
    <w:rPr>
      <w:rFonts w:cs="Times New Roman"/>
    </w:rPr>
  </w:style>
  <w:style w:type="paragraph" w:styleId="33">
    <w:name w:val="List Number 3"/>
    <w:basedOn w:val="1"/>
    <w:qFormat/>
    <w:uiPriority w:val="0"/>
    <w:pPr>
      <w:numPr>
        <w:ilvl w:val="0"/>
        <w:numId w:val="7"/>
      </w:numPr>
      <w:tabs>
        <w:tab w:val="left" w:pos="1200"/>
      </w:tabs>
    </w:pPr>
    <w:rPr>
      <w:rFonts w:cs="Times New Roman"/>
      <w:color w:val="auto"/>
      <w:kern w:val="2"/>
      <w:szCs w:val="20"/>
    </w:rPr>
  </w:style>
  <w:style w:type="paragraph" w:styleId="34">
    <w:name w:val="List 2"/>
    <w:basedOn w:val="1"/>
    <w:qFormat/>
    <w:uiPriority w:val="0"/>
    <w:pPr>
      <w:ind w:left="840" w:hanging="420"/>
    </w:pPr>
    <w:rPr>
      <w:rFonts w:cs="Times New Roman"/>
      <w:color w:val="auto"/>
      <w:kern w:val="2"/>
      <w:szCs w:val="20"/>
    </w:rPr>
  </w:style>
  <w:style w:type="paragraph" w:styleId="35">
    <w:name w:val="List Continue"/>
    <w:basedOn w:val="1"/>
    <w:qFormat/>
    <w:uiPriority w:val="0"/>
    <w:pPr>
      <w:spacing w:after="120"/>
      <w:ind w:left="420"/>
    </w:pPr>
    <w:rPr>
      <w:rFonts w:cs="Times New Roman"/>
      <w:color w:val="auto"/>
      <w:kern w:val="2"/>
      <w:szCs w:val="20"/>
    </w:rPr>
  </w:style>
  <w:style w:type="paragraph" w:styleId="36">
    <w:name w:val="Block Text"/>
    <w:basedOn w:val="1"/>
    <w:qFormat/>
    <w:uiPriority w:val="0"/>
    <w:pPr>
      <w:spacing w:after="120"/>
      <w:ind w:left="1440" w:right="1440"/>
    </w:pPr>
    <w:rPr>
      <w:rFonts w:cs="Times New Roman"/>
      <w:color w:val="auto"/>
      <w:kern w:val="2"/>
      <w:szCs w:val="20"/>
    </w:rPr>
  </w:style>
  <w:style w:type="paragraph" w:styleId="37">
    <w:name w:val="List Bullet 2"/>
    <w:basedOn w:val="1"/>
    <w:qFormat/>
    <w:uiPriority w:val="0"/>
    <w:pPr>
      <w:numPr>
        <w:ilvl w:val="0"/>
        <w:numId w:val="8"/>
      </w:numPr>
      <w:tabs>
        <w:tab w:val="left" w:pos="780"/>
      </w:tabs>
    </w:pPr>
    <w:rPr>
      <w:rFonts w:cs="Times New Roman"/>
      <w:color w:val="auto"/>
      <w:kern w:val="2"/>
      <w:szCs w:val="20"/>
    </w:rPr>
  </w:style>
  <w:style w:type="paragraph" w:styleId="38">
    <w:name w:val="HTML Address"/>
    <w:basedOn w:val="1"/>
    <w:link w:val="221"/>
    <w:qFormat/>
    <w:uiPriority w:val="0"/>
    <w:rPr>
      <w:rFonts w:cs="Times New Roman"/>
      <w:i/>
      <w:color w:val="auto"/>
      <w:kern w:val="2"/>
      <w:szCs w:val="20"/>
    </w:rPr>
  </w:style>
  <w:style w:type="paragraph" w:styleId="39">
    <w:name w:val="index 4"/>
    <w:basedOn w:val="1"/>
    <w:next w:val="1"/>
    <w:qFormat/>
    <w:uiPriority w:val="0"/>
    <w:pPr>
      <w:ind w:left="600" w:leftChars="600"/>
    </w:pPr>
    <w:rPr>
      <w:rFonts w:eastAsia="仿宋_GB2312" w:cs="Times New Roman"/>
      <w:color w:val="auto"/>
      <w:kern w:val="2"/>
      <w:sz w:val="28"/>
      <w:szCs w:val="20"/>
    </w:rPr>
  </w:style>
  <w:style w:type="paragraph" w:styleId="40">
    <w:name w:val="toc 3"/>
    <w:basedOn w:val="1"/>
    <w:next w:val="1"/>
    <w:autoRedefine/>
    <w:qFormat/>
    <w:uiPriority w:val="0"/>
    <w:pPr>
      <w:ind w:left="840"/>
    </w:pPr>
    <w:rPr>
      <w:kern w:val="1"/>
    </w:rPr>
  </w:style>
  <w:style w:type="paragraph" w:styleId="41">
    <w:name w:val="Plain Text"/>
    <w:basedOn w:val="1"/>
    <w:link w:val="210"/>
    <w:autoRedefine/>
    <w:qFormat/>
    <w:uiPriority w:val="0"/>
    <w:pPr>
      <w:autoSpaceDE w:val="0"/>
      <w:autoSpaceDN w:val="0"/>
      <w:adjustRightInd w:val="0"/>
    </w:pPr>
    <w:rPr>
      <w:rFonts w:ascii="宋体" w:hAnsi="Courier New" w:cs="Courier New"/>
      <w:color w:val="auto"/>
      <w:kern w:val="2"/>
      <w:szCs w:val="21"/>
    </w:rPr>
  </w:style>
  <w:style w:type="paragraph" w:styleId="42">
    <w:name w:val="List Bullet 5"/>
    <w:basedOn w:val="1"/>
    <w:qFormat/>
    <w:uiPriority w:val="0"/>
    <w:pPr>
      <w:numPr>
        <w:ilvl w:val="0"/>
        <w:numId w:val="9"/>
      </w:numPr>
      <w:tabs>
        <w:tab w:val="left" w:pos="2040"/>
      </w:tabs>
    </w:pPr>
    <w:rPr>
      <w:rFonts w:cs="Times New Roman"/>
      <w:color w:val="auto"/>
      <w:kern w:val="2"/>
      <w:szCs w:val="20"/>
    </w:rPr>
  </w:style>
  <w:style w:type="paragraph" w:styleId="43">
    <w:name w:val="List Number 4"/>
    <w:basedOn w:val="1"/>
    <w:qFormat/>
    <w:uiPriority w:val="0"/>
    <w:pPr>
      <w:numPr>
        <w:ilvl w:val="0"/>
        <w:numId w:val="10"/>
      </w:numPr>
      <w:tabs>
        <w:tab w:val="left" w:pos="1620"/>
      </w:tabs>
    </w:pPr>
    <w:rPr>
      <w:rFonts w:cs="Times New Roman"/>
      <w:color w:val="auto"/>
      <w:kern w:val="2"/>
      <w:szCs w:val="20"/>
    </w:rPr>
  </w:style>
  <w:style w:type="paragraph" w:styleId="44">
    <w:name w:val="index 3"/>
    <w:basedOn w:val="1"/>
    <w:next w:val="1"/>
    <w:qFormat/>
    <w:uiPriority w:val="0"/>
    <w:pPr>
      <w:ind w:left="400" w:leftChars="400"/>
    </w:pPr>
    <w:rPr>
      <w:rFonts w:eastAsia="仿宋_GB2312" w:cs="Times New Roman"/>
      <w:color w:val="auto"/>
      <w:kern w:val="2"/>
      <w:sz w:val="28"/>
      <w:szCs w:val="20"/>
    </w:rPr>
  </w:style>
  <w:style w:type="paragraph" w:styleId="45">
    <w:name w:val="Date"/>
    <w:basedOn w:val="1"/>
    <w:next w:val="1"/>
    <w:link w:val="287"/>
    <w:qFormat/>
    <w:uiPriority w:val="0"/>
    <w:rPr>
      <w:rFonts w:cs="Times New Roman"/>
      <w:color w:val="auto"/>
      <w:kern w:val="2"/>
      <w:szCs w:val="20"/>
    </w:rPr>
  </w:style>
  <w:style w:type="paragraph" w:styleId="46">
    <w:name w:val="Body Text Indent 2"/>
    <w:basedOn w:val="1"/>
    <w:autoRedefine/>
    <w:qFormat/>
    <w:uiPriority w:val="0"/>
    <w:pPr>
      <w:spacing w:after="120" w:line="480" w:lineRule="auto"/>
      <w:ind w:left="420" w:leftChars="200"/>
    </w:pPr>
  </w:style>
  <w:style w:type="paragraph" w:styleId="47">
    <w:name w:val="List Continue 5"/>
    <w:basedOn w:val="1"/>
    <w:qFormat/>
    <w:uiPriority w:val="0"/>
    <w:pPr>
      <w:spacing w:after="120"/>
      <w:ind w:left="2100"/>
    </w:pPr>
    <w:rPr>
      <w:rFonts w:cs="Times New Roman"/>
      <w:color w:val="auto"/>
      <w:kern w:val="2"/>
      <w:szCs w:val="20"/>
    </w:rPr>
  </w:style>
  <w:style w:type="paragraph" w:styleId="48">
    <w:name w:val="Balloon Text"/>
    <w:basedOn w:val="1"/>
    <w:autoRedefine/>
    <w:qFormat/>
    <w:uiPriority w:val="0"/>
    <w:rPr>
      <w:kern w:val="1"/>
      <w:sz w:val="18"/>
      <w:szCs w:val="18"/>
    </w:rPr>
  </w:style>
  <w:style w:type="paragraph" w:styleId="49">
    <w:name w:val="footer"/>
    <w:basedOn w:val="1"/>
    <w:link w:val="134"/>
    <w:autoRedefine/>
    <w:qFormat/>
    <w:uiPriority w:val="99"/>
    <w:pPr>
      <w:tabs>
        <w:tab w:val="center" w:pos="4153"/>
        <w:tab w:val="right" w:pos="8305"/>
      </w:tabs>
      <w:jc w:val="left"/>
    </w:pPr>
    <w:rPr>
      <w:rFonts w:ascii="Calibri" w:hAnsi="Calibri" w:cs="Times New Roman"/>
      <w:kern w:val="1"/>
      <w:sz w:val="18"/>
      <w:szCs w:val="18"/>
    </w:rPr>
  </w:style>
  <w:style w:type="paragraph" w:styleId="50">
    <w:name w:val="envelope return"/>
    <w:basedOn w:val="1"/>
    <w:qFormat/>
    <w:uiPriority w:val="0"/>
    <w:pPr>
      <w:snapToGrid w:val="0"/>
    </w:pPr>
    <w:rPr>
      <w:rFonts w:ascii="Arial" w:hAnsi="Arial" w:cs="Times New Roman"/>
      <w:color w:val="auto"/>
      <w:kern w:val="2"/>
      <w:szCs w:val="20"/>
    </w:rPr>
  </w:style>
  <w:style w:type="paragraph" w:styleId="51">
    <w:name w:val="header"/>
    <w:basedOn w:val="1"/>
    <w:next w:val="30"/>
    <w:link w:val="123"/>
    <w:autoRedefine/>
    <w:qFormat/>
    <w:uiPriority w:val="0"/>
    <w:pPr>
      <w:pBdr>
        <w:bottom w:val="single" w:color="000000" w:sz="6" w:space="1"/>
      </w:pBdr>
      <w:tabs>
        <w:tab w:val="center" w:pos="4153"/>
        <w:tab w:val="right" w:pos="8305"/>
      </w:tabs>
      <w:jc w:val="center"/>
    </w:pPr>
    <w:rPr>
      <w:rFonts w:ascii="Calibri" w:hAnsi="Calibri" w:cs="Times New Roman"/>
      <w:kern w:val="1"/>
      <w:sz w:val="18"/>
      <w:szCs w:val="18"/>
    </w:rPr>
  </w:style>
  <w:style w:type="paragraph" w:styleId="52">
    <w:name w:val="Signature"/>
    <w:basedOn w:val="1"/>
    <w:link w:val="336"/>
    <w:qFormat/>
    <w:uiPriority w:val="0"/>
    <w:pPr>
      <w:ind w:left="4320"/>
    </w:pPr>
    <w:rPr>
      <w:rFonts w:cs="Times New Roman"/>
      <w:color w:val="auto"/>
      <w:kern w:val="2"/>
      <w:szCs w:val="20"/>
    </w:rPr>
  </w:style>
  <w:style w:type="paragraph" w:styleId="53">
    <w:name w:val="toc 1"/>
    <w:basedOn w:val="1"/>
    <w:next w:val="1"/>
    <w:autoRedefine/>
    <w:qFormat/>
    <w:uiPriority w:val="39"/>
    <w:rPr>
      <w:kern w:val="1"/>
    </w:rPr>
  </w:style>
  <w:style w:type="paragraph" w:styleId="54">
    <w:name w:val="List Continue 4"/>
    <w:basedOn w:val="1"/>
    <w:qFormat/>
    <w:uiPriority w:val="0"/>
    <w:pPr>
      <w:spacing w:after="120"/>
      <w:ind w:left="1680"/>
    </w:pPr>
    <w:rPr>
      <w:rFonts w:cs="Times New Roman"/>
      <w:color w:val="auto"/>
      <w:kern w:val="2"/>
      <w:szCs w:val="20"/>
    </w:rPr>
  </w:style>
  <w:style w:type="paragraph" w:styleId="55">
    <w:name w:val="toc 4"/>
    <w:basedOn w:val="1"/>
    <w:next w:val="1"/>
    <w:autoRedefine/>
    <w:qFormat/>
    <w:uiPriority w:val="39"/>
    <w:pPr>
      <w:ind w:left="1260" w:leftChars="600"/>
    </w:pPr>
  </w:style>
  <w:style w:type="paragraph" w:styleId="56">
    <w:name w:val="index heading"/>
    <w:basedOn w:val="1"/>
    <w:next w:val="57"/>
    <w:qFormat/>
    <w:uiPriority w:val="0"/>
    <w:rPr>
      <w:rFonts w:eastAsia="仿宋_GB2312" w:cs="Times New Roman"/>
      <w:color w:val="auto"/>
      <w:kern w:val="2"/>
      <w:sz w:val="28"/>
      <w:szCs w:val="20"/>
    </w:rPr>
  </w:style>
  <w:style w:type="paragraph" w:styleId="57">
    <w:name w:val="index 1"/>
    <w:basedOn w:val="1"/>
    <w:next w:val="1"/>
    <w:qFormat/>
    <w:uiPriority w:val="0"/>
    <w:rPr>
      <w:rFonts w:eastAsia="仿宋_GB2312" w:cs="Times New Roman"/>
      <w:color w:val="auto"/>
      <w:kern w:val="2"/>
      <w:sz w:val="28"/>
      <w:szCs w:val="20"/>
    </w:rPr>
  </w:style>
  <w:style w:type="paragraph" w:styleId="58">
    <w:name w:val="List Number 5"/>
    <w:basedOn w:val="1"/>
    <w:qFormat/>
    <w:uiPriority w:val="0"/>
    <w:pPr>
      <w:numPr>
        <w:ilvl w:val="0"/>
        <w:numId w:val="11"/>
      </w:numPr>
      <w:tabs>
        <w:tab w:val="left" w:pos="2040"/>
      </w:tabs>
    </w:pPr>
    <w:rPr>
      <w:rFonts w:cs="Times New Roman"/>
      <w:color w:val="auto"/>
      <w:kern w:val="2"/>
      <w:szCs w:val="20"/>
    </w:rPr>
  </w:style>
  <w:style w:type="paragraph" w:styleId="59">
    <w:name w:val="List"/>
    <w:basedOn w:val="1"/>
    <w:qFormat/>
    <w:uiPriority w:val="0"/>
    <w:pPr>
      <w:ind w:left="420" w:hanging="420"/>
    </w:pPr>
    <w:rPr>
      <w:rFonts w:cs="Times New Roman"/>
      <w:color w:val="auto"/>
      <w:kern w:val="2"/>
      <w:szCs w:val="20"/>
    </w:rPr>
  </w:style>
  <w:style w:type="paragraph" w:styleId="60">
    <w:name w:val="footnote text"/>
    <w:basedOn w:val="1"/>
    <w:link w:val="171"/>
    <w:qFormat/>
    <w:uiPriority w:val="0"/>
    <w:pPr>
      <w:snapToGrid w:val="0"/>
      <w:jc w:val="left"/>
    </w:pPr>
    <w:rPr>
      <w:rFonts w:cs="Times New Roman"/>
      <w:color w:val="auto"/>
      <w:kern w:val="2"/>
      <w:sz w:val="18"/>
      <w:szCs w:val="20"/>
    </w:rPr>
  </w:style>
  <w:style w:type="paragraph" w:styleId="61">
    <w:name w:val="List 5"/>
    <w:basedOn w:val="1"/>
    <w:qFormat/>
    <w:uiPriority w:val="0"/>
    <w:pPr>
      <w:ind w:left="2100" w:hanging="420"/>
    </w:pPr>
    <w:rPr>
      <w:rFonts w:cs="Times New Roman"/>
      <w:color w:val="auto"/>
      <w:kern w:val="2"/>
      <w:szCs w:val="20"/>
    </w:rPr>
  </w:style>
  <w:style w:type="paragraph" w:styleId="62">
    <w:name w:val="Body Text Indent 3"/>
    <w:basedOn w:val="1"/>
    <w:link w:val="293"/>
    <w:qFormat/>
    <w:uiPriority w:val="0"/>
    <w:pPr>
      <w:spacing w:after="120"/>
      <w:ind w:left="420"/>
    </w:pPr>
    <w:rPr>
      <w:rFonts w:cs="Times New Roman"/>
      <w:color w:val="auto"/>
      <w:kern w:val="2"/>
      <w:sz w:val="16"/>
      <w:szCs w:val="20"/>
    </w:rPr>
  </w:style>
  <w:style w:type="paragraph" w:styleId="63">
    <w:name w:val="index 7"/>
    <w:basedOn w:val="1"/>
    <w:next w:val="1"/>
    <w:qFormat/>
    <w:uiPriority w:val="0"/>
    <w:pPr>
      <w:ind w:left="1200" w:leftChars="1200"/>
    </w:pPr>
    <w:rPr>
      <w:rFonts w:eastAsia="仿宋_GB2312" w:cs="Times New Roman"/>
      <w:color w:val="auto"/>
      <w:kern w:val="2"/>
      <w:sz w:val="28"/>
      <w:szCs w:val="20"/>
    </w:rPr>
  </w:style>
  <w:style w:type="paragraph" w:styleId="64">
    <w:name w:val="index 9"/>
    <w:basedOn w:val="1"/>
    <w:next w:val="1"/>
    <w:qFormat/>
    <w:uiPriority w:val="0"/>
    <w:pPr>
      <w:ind w:left="1600" w:leftChars="1600"/>
    </w:pPr>
    <w:rPr>
      <w:rFonts w:eastAsia="仿宋_GB2312" w:cs="Times New Roman"/>
      <w:color w:val="auto"/>
      <w:kern w:val="2"/>
      <w:sz w:val="28"/>
      <w:szCs w:val="20"/>
    </w:rPr>
  </w:style>
  <w:style w:type="paragraph" w:styleId="65">
    <w:name w:val="table of figures"/>
    <w:basedOn w:val="1"/>
    <w:next w:val="1"/>
    <w:qFormat/>
    <w:uiPriority w:val="0"/>
    <w:pPr>
      <w:ind w:left="200" w:leftChars="200" w:hanging="200" w:hangingChars="200"/>
    </w:pPr>
    <w:rPr>
      <w:rFonts w:cs="Times New Roman"/>
      <w:color w:val="auto"/>
      <w:kern w:val="2"/>
      <w:szCs w:val="20"/>
    </w:rPr>
  </w:style>
  <w:style w:type="paragraph" w:styleId="66">
    <w:name w:val="toc 2"/>
    <w:basedOn w:val="1"/>
    <w:next w:val="1"/>
    <w:autoRedefine/>
    <w:qFormat/>
    <w:uiPriority w:val="39"/>
    <w:pPr>
      <w:ind w:left="420"/>
    </w:pPr>
    <w:rPr>
      <w:kern w:val="1"/>
    </w:rPr>
  </w:style>
  <w:style w:type="paragraph" w:styleId="67">
    <w:name w:val="Body Text 2"/>
    <w:basedOn w:val="1"/>
    <w:link w:val="284"/>
    <w:qFormat/>
    <w:uiPriority w:val="0"/>
    <w:pPr>
      <w:spacing w:after="120" w:line="480" w:lineRule="auto"/>
    </w:pPr>
    <w:rPr>
      <w:rFonts w:cs="Times New Roman"/>
      <w:color w:val="auto"/>
      <w:kern w:val="2"/>
      <w:szCs w:val="20"/>
    </w:rPr>
  </w:style>
  <w:style w:type="paragraph" w:styleId="68">
    <w:name w:val="List 4"/>
    <w:basedOn w:val="1"/>
    <w:qFormat/>
    <w:uiPriority w:val="0"/>
    <w:pPr>
      <w:ind w:left="1680" w:hanging="420"/>
    </w:pPr>
    <w:rPr>
      <w:rFonts w:cs="Times New Roman"/>
      <w:color w:val="auto"/>
      <w:kern w:val="2"/>
      <w:szCs w:val="20"/>
    </w:rPr>
  </w:style>
  <w:style w:type="paragraph" w:styleId="69">
    <w:name w:val="List Continue 2"/>
    <w:basedOn w:val="1"/>
    <w:qFormat/>
    <w:uiPriority w:val="0"/>
    <w:pPr>
      <w:spacing w:after="120"/>
      <w:ind w:left="840"/>
    </w:pPr>
    <w:rPr>
      <w:rFonts w:cs="Times New Roman"/>
      <w:color w:val="auto"/>
      <w:kern w:val="2"/>
      <w:szCs w:val="20"/>
    </w:rPr>
  </w:style>
  <w:style w:type="paragraph" w:styleId="70">
    <w:name w:val="Message Header"/>
    <w:basedOn w:val="1"/>
    <w:link w:val="3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Times New Roman"/>
      <w:color w:val="auto"/>
      <w:kern w:val="2"/>
      <w:sz w:val="24"/>
      <w:szCs w:val="20"/>
    </w:rPr>
  </w:style>
  <w:style w:type="paragraph" w:styleId="71">
    <w:name w:val="HTML Preformatted"/>
    <w:basedOn w:val="1"/>
    <w:link w:val="13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72">
    <w:name w:val="Normal (Web)"/>
    <w:basedOn w:val="1"/>
    <w:next w:val="73"/>
    <w:autoRedefine/>
    <w:qFormat/>
    <w:uiPriority w:val="0"/>
    <w:pPr>
      <w:widowControl/>
      <w:spacing w:before="100" w:beforeAutospacing="1" w:after="100" w:afterAutospacing="1"/>
      <w:jc w:val="left"/>
    </w:pPr>
    <w:rPr>
      <w:rFonts w:ascii="宋体" w:cs="Times New Roman"/>
      <w:sz w:val="18"/>
      <w:szCs w:val="18"/>
    </w:rPr>
  </w:style>
  <w:style w:type="paragraph" w:customStyle="1" w:styleId="73">
    <w:name w:val="文本"/>
    <w:basedOn w:val="1"/>
    <w:autoRedefine/>
    <w:qFormat/>
    <w:uiPriority w:val="0"/>
    <w:pPr>
      <w:widowControl/>
      <w:tabs>
        <w:tab w:val="left" w:pos="0"/>
      </w:tabs>
      <w:ind w:firstLine="720"/>
    </w:pPr>
    <w:rPr>
      <w:rFonts w:cs="宋体"/>
    </w:rPr>
  </w:style>
  <w:style w:type="paragraph" w:styleId="74">
    <w:name w:val="List Continue 3"/>
    <w:basedOn w:val="1"/>
    <w:qFormat/>
    <w:uiPriority w:val="0"/>
    <w:pPr>
      <w:spacing w:after="120"/>
      <w:ind w:left="1260"/>
    </w:pPr>
    <w:rPr>
      <w:rFonts w:cs="Times New Roman"/>
      <w:color w:val="auto"/>
      <w:kern w:val="2"/>
      <w:szCs w:val="20"/>
    </w:rPr>
  </w:style>
  <w:style w:type="paragraph" w:styleId="75">
    <w:name w:val="index 2"/>
    <w:basedOn w:val="1"/>
    <w:next w:val="1"/>
    <w:qFormat/>
    <w:uiPriority w:val="0"/>
    <w:pPr>
      <w:ind w:left="200" w:leftChars="200"/>
    </w:pPr>
    <w:rPr>
      <w:rFonts w:eastAsia="仿宋_GB2312" w:cs="Times New Roman"/>
      <w:color w:val="auto"/>
      <w:kern w:val="2"/>
      <w:sz w:val="28"/>
      <w:szCs w:val="20"/>
    </w:rPr>
  </w:style>
  <w:style w:type="paragraph" w:styleId="76">
    <w:name w:val="Title"/>
    <w:basedOn w:val="1"/>
    <w:next w:val="1"/>
    <w:link w:val="142"/>
    <w:autoRedefine/>
    <w:qFormat/>
    <w:uiPriority w:val="0"/>
    <w:pPr>
      <w:spacing w:before="240" w:after="60"/>
      <w:jc w:val="center"/>
      <w:outlineLvl w:val="0"/>
    </w:pPr>
    <w:rPr>
      <w:rFonts w:ascii="等线 Light" w:hAnsi="等线 Light" w:cs="Times New Roman"/>
      <w:b/>
      <w:kern w:val="1"/>
      <w:sz w:val="32"/>
      <w:szCs w:val="32"/>
    </w:rPr>
  </w:style>
  <w:style w:type="paragraph" w:styleId="77">
    <w:name w:val="annotation subject"/>
    <w:basedOn w:val="24"/>
    <w:next w:val="24"/>
    <w:autoRedefine/>
    <w:qFormat/>
    <w:uiPriority w:val="0"/>
    <w:rPr>
      <w:b/>
    </w:rPr>
  </w:style>
  <w:style w:type="paragraph" w:styleId="78">
    <w:name w:val="Body Text First Indent"/>
    <w:basedOn w:val="30"/>
    <w:link w:val="379"/>
    <w:qFormat/>
    <w:uiPriority w:val="0"/>
    <w:pPr>
      <w:ind w:firstLine="420" w:firstLineChars="100"/>
    </w:pPr>
    <w:rPr>
      <w:rFonts w:cs="Calibri"/>
      <w:kern w:val="0"/>
    </w:rPr>
  </w:style>
  <w:style w:type="paragraph" w:styleId="79">
    <w:name w:val="Body Text First Indent 2"/>
    <w:basedOn w:val="32"/>
    <w:link w:val="378"/>
    <w:qFormat/>
    <w:uiPriority w:val="0"/>
    <w:pPr>
      <w:ind w:firstLine="420" w:firstLineChars="200"/>
    </w:pPr>
    <w:rPr>
      <w:rFonts w:cs="Calibri"/>
    </w:rPr>
  </w:style>
  <w:style w:type="table" w:styleId="81">
    <w:name w:val="Table Grid"/>
    <w:basedOn w:val="8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qFormat/>
    <w:uiPriority w:val="0"/>
    <w:rPr>
      <w:b/>
    </w:rPr>
  </w:style>
  <w:style w:type="character" w:styleId="84">
    <w:name w:val="page number"/>
    <w:basedOn w:val="82"/>
    <w:qFormat/>
    <w:uiPriority w:val="0"/>
  </w:style>
  <w:style w:type="character" w:styleId="85">
    <w:name w:val="FollowedHyperlink"/>
    <w:basedOn w:val="82"/>
    <w:qFormat/>
    <w:uiPriority w:val="0"/>
    <w:rPr>
      <w:color w:val="800080" w:themeColor="followedHyperlink"/>
      <w:u w:val="single"/>
      <w14:textFill>
        <w14:solidFill>
          <w14:schemeClr w14:val="folHlink"/>
        </w14:solidFill>
      </w14:textFill>
    </w:rPr>
  </w:style>
  <w:style w:type="character" w:styleId="86">
    <w:name w:val="Emphasis"/>
    <w:autoRedefine/>
    <w:qFormat/>
    <w:uiPriority w:val="0"/>
    <w:rPr>
      <w:i/>
    </w:rPr>
  </w:style>
  <w:style w:type="character" w:styleId="87">
    <w:name w:val="line number"/>
    <w:basedOn w:val="82"/>
    <w:qFormat/>
    <w:uiPriority w:val="0"/>
  </w:style>
  <w:style w:type="character" w:styleId="88">
    <w:name w:val="HTML Definition"/>
    <w:qFormat/>
    <w:uiPriority w:val="0"/>
    <w:rPr>
      <w:i/>
    </w:rPr>
  </w:style>
  <w:style w:type="character" w:styleId="89">
    <w:name w:val="HTML Typewriter"/>
    <w:qFormat/>
    <w:uiPriority w:val="0"/>
    <w:rPr>
      <w:rFonts w:ascii="Courier New" w:hAnsi="Courier New"/>
      <w:sz w:val="20"/>
    </w:rPr>
  </w:style>
  <w:style w:type="character" w:styleId="90">
    <w:name w:val="HTML Acronym"/>
    <w:basedOn w:val="82"/>
    <w:qFormat/>
    <w:uiPriority w:val="0"/>
  </w:style>
  <w:style w:type="character" w:styleId="91">
    <w:name w:val="HTML Variable"/>
    <w:qFormat/>
    <w:uiPriority w:val="0"/>
    <w:rPr>
      <w:i/>
    </w:rPr>
  </w:style>
  <w:style w:type="character" w:styleId="92">
    <w:name w:val="Hyperlink"/>
    <w:autoRedefine/>
    <w:qFormat/>
    <w:uiPriority w:val="99"/>
    <w:rPr>
      <w:color w:val="0000FF"/>
      <w:u w:val="single"/>
    </w:rPr>
  </w:style>
  <w:style w:type="character" w:styleId="93">
    <w:name w:val="HTML Code"/>
    <w:qFormat/>
    <w:uiPriority w:val="0"/>
    <w:rPr>
      <w:rFonts w:ascii="Courier New" w:hAnsi="Courier New"/>
      <w:sz w:val="20"/>
    </w:rPr>
  </w:style>
  <w:style w:type="character" w:styleId="94">
    <w:name w:val="annotation reference"/>
    <w:autoRedefine/>
    <w:qFormat/>
    <w:uiPriority w:val="0"/>
    <w:rPr>
      <w:sz w:val="21"/>
      <w:szCs w:val="21"/>
    </w:rPr>
  </w:style>
  <w:style w:type="character" w:styleId="95">
    <w:name w:val="HTML Cite"/>
    <w:qFormat/>
    <w:uiPriority w:val="0"/>
    <w:rPr>
      <w:i/>
    </w:rPr>
  </w:style>
  <w:style w:type="character" w:styleId="96">
    <w:name w:val="footnote reference"/>
    <w:qFormat/>
    <w:uiPriority w:val="0"/>
    <w:rPr>
      <w:vertAlign w:val="superscript"/>
    </w:rPr>
  </w:style>
  <w:style w:type="character" w:styleId="97">
    <w:name w:val="HTML Keyboard"/>
    <w:qFormat/>
    <w:uiPriority w:val="0"/>
    <w:rPr>
      <w:rFonts w:ascii="Courier New" w:hAnsi="Courier New"/>
      <w:sz w:val="20"/>
    </w:rPr>
  </w:style>
  <w:style w:type="character" w:styleId="98">
    <w:name w:val="HTML Sample"/>
    <w:qFormat/>
    <w:uiPriority w:val="0"/>
    <w:rPr>
      <w:rFonts w:ascii="Courier New" w:hAnsi="Courier New"/>
    </w:rPr>
  </w:style>
  <w:style w:type="paragraph" w:customStyle="1" w:styleId="99">
    <w:name w:val="标题 5（有编号）（绿盟科技）"/>
    <w:basedOn w:val="100"/>
    <w:next w:val="101"/>
    <w:autoRedefine/>
    <w:qFormat/>
    <w:uiPriority w:val="0"/>
    <w:pPr>
      <w:keepNext/>
      <w:keepLines/>
      <w:numPr>
        <w:ilvl w:val="4"/>
        <w:numId w:val="12"/>
      </w:numPr>
      <w:spacing w:before="280" w:after="156" w:line="377" w:lineRule="auto"/>
      <w:jc w:val="left"/>
      <w:outlineLvl w:val="4"/>
    </w:pPr>
    <w:rPr>
      <w:rFonts w:ascii="Arial" w:hAnsi="Arial" w:eastAsia="黑体"/>
      <w:b/>
      <w:sz w:val="24"/>
      <w:szCs w:val="28"/>
    </w:rPr>
  </w:style>
  <w:style w:type="paragraph" w:customStyle="1" w:styleId="100">
    <w:name w:val="正文1"/>
    <w:basedOn w:val="1"/>
    <w:next w:val="1"/>
    <w:autoRedefine/>
    <w:qFormat/>
    <w:uiPriority w:val="0"/>
    <w:pPr>
      <w:spacing w:before="120" w:after="120" w:line="360" w:lineRule="auto"/>
    </w:pPr>
    <w:rPr>
      <w:szCs w:val="20"/>
    </w:rPr>
  </w:style>
  <w:style w:type="paragraph" w:customStyle="1" w:styleId="10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02">
    <w:name w:val="标题 1 Char"/>
    <w:autoRedefine/>
    <w:qFormat/>
    <w:uiPriority w:val="0"/>
    <w:rPr>
      <w:rFonts w:ascii="Calibri" w:hAnsi="Calibri" w:eastAsia="宋体" w:cs="Times New Roman"/>
      <w:b/>
      <w:kern w:val="0"/>
      <w:sz w:val="32"/>
      <w:szCs w:val="44"/>
    </w:rPr>
  </w:style>
  <w:style w:type="paragraph" w:customStyle="1" w:styleId="103">
    <w:name w:val="列出段落1"/>
    <w:basedOn w:val="1"/>
    <w:link w:val="138"/>
    <w:autoRedefine/>
    <w:qFormat/>
    <w:uiPriority w:val="0"/>
    <w:pPr>
      <w:ind w:firstLine="420"/>
    </w:pPr>
    <w:rPr>
      <w:rFonts w:cs="Times New Roman"/>
      <w:kern w:val="1"/>
    </w:rPr>
  </w:style>
  <w:style w:type="paragraph" w:styleId="104">
    <w:name w:val="List Paragraph"/>
    <w:basedOn w:val="1"/>
    <w:autoRedefine/>
    <w:qFormat/>
    <w:uiPriority w:val="1"/>
    <w:pPr>
      <w:ind w:firstLine="420" w:firstLineChars="200"/>
    </w:pPr>
    <w:rPr>
      <w:rFonts w:cs="Times New Roman"/>
      <w:color w:val="auto"/>
      <w:kern w:val="2"/>
      <w:szCs w:val="24"/>
    </w:rPr>
  </w:style>
  <w:style w:type="paragraph" w:customStyle="1" w:styleId="105">
    <w:name w:val="正文首行缩进两字符"/>
    <w:basedOn w:val="1"/>
    <w:autoRedefine/>
    <w:qFormat/>
    <w:uiPriority w:val="0"/>
    <w:pPr>
      <w:spacing w:line="360" w:lineRule="auto"/>
      <w:ind w:firstLine="200" w:firstLineChars="200"/>
    </w:pPr>
    <w:rPr>
      <w:rFonts w:ascii="Calibri" w:hAnsi="Calibri"/>
    </w:rPr>
  </w:style>
  <w:style w:type="paragraph" w:customStyle="1" w:styleId="106">
    <w:name w:val="List Paragraph1"/>
    <w:basedOn w:val="1"/>
    <w:autoRedefine/>
    <w:qFormat/>
    <w:uiPriority w:val="0"/>
    <w:pPr>
      <w:ind w:firstLine="420" w:firstLineChars="200"/>
    </w:pPr>
    <w:rPr>
      <w:rFonts w:cs="Times New Roman"/>
      <w:color w:val="auto"/>
      <w:kern w:val="2"/>
    </w:rPr>
  </w:style>
  <w:style w:type="paragraph" w:customStyle="1" w:styleId="107">
    <w:name w:val="13、表格内居中正文"/>
    <w:basedOn w:val="1"/>
    <w:autoRedefine/>
    <w:qFormat/>
    <w:uiPriority w:val="0"/>
    <w:pPr>
      <w:tabs>
        <w:tab w:val="left" w:pos="0"/>
      </w:tabs>
      <w:wordWrap w:val="0"/>
      <w:topLinePunct/>
      <w:spacing w:line="360" w:lineRule="exact"/>
      <w:jc w:val="center"/>
    </w:pPr>
    <w:rPr>
      <w:rFonts w:ascii="宋体" w:hAnsi="宋体" w:cs="Times New Roman"/>
      <w:color w:val="auto"/>
      <w:kern w:val="2"/>
      <w:szCs w:val="24"/>
    </w:rPr>
  </w:style>
  <w:style w:type="paragraph" w:customStyle="1" w:styleId="108">
    <w:name w:val="样式 首行缩进:  2 字符"/>
    <w:basedOn w:val="1"/>
    <w:autoRedefine/>
    <w:qFormat/>
    <w:uiPriority w:val="0"/>
    <w:pPr>
      <w:spacing w:line="400" w:lineRule="exact"/>
      <w:ind w:firstLine="200"/>
    </w:pPr>
    <w:rPr>
      <w:rFonts w:cs="宋体"/>
      <w:kern w:val="1"/>
      <w:sz w:val="24"/>
    </w:rPr>
  </w:style>
  <w:style w:type="paragraph" w:customStyle="1" w:styleId="10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0">
    <w:name w:val="01、普通正文"/>
    <w:basedOn w:val="1"/>
    <w:autoRedefine/>
    <w:qFormat/>
    <w:uiPriority w:val="0"/>
    <w:pPr>
      <w:tabs>
        <w:tab w:val="left" w:pos="0"/>
      </w:tabs>
      <w:wordWrap w:val="0"/>
      <w:topLinePunct/>
    </w:pPr>
    <w:rPr>
      <w:rFonts w:ascii="宋体" w:hAnsi="宋体" w:cs="Times New Roman"/>
      <w:snapToGrid w:val="0"/>
      <w:color w:val="auto"/>
      <w:kern w:val="2"/>
      <w:szCs w:val="24"/>
    </w:rPr>
  </w:style>
  <w:style w:type="paragraph" w:customStyle="1" w:styleId="111">
    <w:name w:val="_Style 4"/>
    <w:basedOn w:val="1"/>
    <w:autoRedefine/>
    <w:qFormat/>
    <w:uiPriority w:val="0"/>
    <w:pPr>
      <w:spacing w:line="360" w:lineRule="auto"/>
    </w:pPr>
    <w:rPr>
      <w:rFonts w:cs="Times New Roman"/>
      <w:sz w:val="24"/>
      <w:szCs w:val="20"/>
    </w:rPr>
  </w:style>
  <w:style w:type="paragraph" w:customStyle="1" w:styleId="112">
    <w:name w:val="TOC 标题1"/>
    <w:basedOn w:val="2"/>
    <w:next w:val="1"/>
    <w:autoRedefine/>
    <w:qFormat/>
    <w:uiPriority w:val="0"/>
    <w:pPr>
      <w:widowControl/>
      <w:spacing w:before="480" w:after="0" w:line="276" w:lineRule="auto"/>
      <w:jc w:val="left"/>
      <w:outlineLvl w:val="9"/>
    </w:pPr>
    <w:rPr>
      <w:rFonts w:ascii="Cambria" w:hAnsi="Cambria"/>
      <w:color w:val="365F91"/>
      <w:sz w:val="28"/>
      <w:szCs w:val="28"/>
    </w:rPr>
  </w:style>
  <w:style w:type="paragraph" w:customStyle="1" w:styleId="113">
    <w:name w:val="TOC 标题11"/>
    <w:basedOn w:val="2"/>
    <w:next w:val="1"/>
    <w:autoRedefine/>
    <w:qFormat/>
    <w:uiPriority w:val="0"/>
    <w:pPr>
      <w:widowControl/>
      <w:wordWrap w:val="0"/>
      <w:spacing w:before="0" w:after="0" w:line="336" w:lineRule="auto"/>
      <w:outlineLvl w:val="9"/>
    </w:pPr>
    <w:rPr>
      <w:rFonts w:ascii="仿宋" w:hAnsi="仿宋" w:eastAsia="仿宋" w:cs="仿宋"/>
      <w:color w:val="auto"/>
      <w:sz w:val="48"/>
      <w:szCs w:val="72"/>
    </w:rPr>
  </w:style>
  <w:style w:type="paragraph" w:customStyle="1" w:styleId="114">
    <w:name w:val="_Style 10"/>
    <w:basedOn w:val="23"/>
    <w:autoRedefine/>
    <w:qFormat/>
    <w:uiPriority w:val="0"/>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115">
    <w:name w:val="正文 New New"/>
    <w:autoRedefine/>
    <w:qFormat/>
    <w:uiPriority w:val="0"/>
    <w:pPr>
      <w:widowControl w:val="0"/>
      <w:spacing w:after="160" w:line="257" w:lineRule="auto"/>
      <w:jc w:val="both"/>
    </w:pPr>
    <w:rPr>
      <w:rFonts w:ascii="Times New Roman" w:hAnsi="Times New Roman" w:eastAsia="宋体" w:cs="Calibri"/>
      <w:color w:val="000000"/>
      <w:kern w:val="1"/>
      <w:sz w:val="21"/>
      <w:szCs w:val="22"/>
      <w:lang w:val="en-US" w:eastAsia="zh-CN" w:bidi="ar-SA"/>
    </w:rPr>
  </w:style>
  <w:style w:type="paragraph" w:customStyle="1" w:styleId="116">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7">
    <w:name w:val="列出段落2"/>
    <w:basedOn w:val="1"/>
    <w:autoRedefine/>
    <w:qFormat/>
    <w:uiPriority w:val="0"/>
    <w:pPr>
      <w:ind w:firstLine="420"/>
    </w:pPr>
    <w:rPr>
      <w:kern w:val="1"/>
    </w:rPr>
  </w:style>
  <w:style w:type="paragraph" w:customStyle="1" w:styleId="118">
    <w:name w:val="图例"/>
    <w:basedOn w:val="1"/>
    <w:autoRedefine/>
    <w:qFormat/>
    <w:uiPriority w:val="0"/>
    <w:pPr>
      <w:spacing w:before="120" w:after="120" w:line="360" w:lineRule="auto"/>
      <w:jc w:val="center"/>
    </w:pPr>
    <w:rPr>
      <w:rFonts w:eastAsia="仿宋" w:cs="Times New Roman"/>
      <w:b/>
      <w:kern w:val="1"/>
      <w:sz w:val="24"/>
    </w:rPr>
  </w:style>
  <w:style w:type="paragraph" w:customStyle="1" w:styleId="119">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20">
    <w:name w:val="Table Paragraph"/>
    <w:basedOn w:val="1"/>
    <w:autoRedefine/>
    <w:qFormat/>
    <w:uiPriority w:val="1"/>
    <w:pPr>
      <w:jc w:val="left"/>
    </w:pPr>
    <w:rPr>
      <w:sz w:val="22"/>
      <w:lang w:eastAsia="en-US"/>
    </w:rPr>
  </w:style>
  <w:style w:type="character" w:customStyle="1" w:styleId="121">
    <w:name w:val="正文文本缩进 Char1"/>
    <w:link w:val="32"/>
    <w:autoRedefine/>
    <w:qFormat/>
    <w:uiPriority w:val="0"/>
    <w:rPr>
      <w:rFonts w:cs="Calibri"/>
      <w:color w:val="000000"/>
      <w:sz w:val="21"/>
      <w:szCs w:val="22"/>
    </w:rPr>
  </w:style>
  <w:style w:type="character" w:customStyle="1" w:styleId="122">
    <w:name w:val="标题 7 Char"/>
    <w:autoRedefine/>
    <w:qFormat/>
    <w:uiPriority w:val="0"/>
    <w:rPr>
      <w:b/>
      <w:sz w:val="24"/>
      <w:szCs w:val="24"/>
    </w:rPr>
  </w:style>
  <w:style w:type="character" w:customStyle="1" w:styleId="123">
    <w:name w:val="页眉 Char1"/>
    <w:link w:val="51"/>
    <w:autoRedefine/>
    <w:qFormat/>
    <w:uiPriority w:val="0"/>
    <w:rPr>
      <w:rFonts w:ascii="Calibri" w:hAnsi="Calibri" w:cs="Calibri"/>
      <w:color w:val="000000"/>
      <w:kern w:val="1"/>
      <w:sz w:val="18"/>
      <w:szCs w:val="18"/>
    </w:rPr>
  </w:style>
  <w:style w:type="character" w:customStyle="1" w:styleId="124">
    <w:name w:val="正文文本 Char"/>
    <w:link w:val="30"/>
    <w:autoRedefine/>
    <w:qFormat/>
    <w:uiPriority w:val="1"/>
    <w:rPr>
      <w:rFonts w:cs="Calibri"/>
      <w:color w:val="000000"/>
      <w:kern w:val="1"/>
      <w:sz w:val="21"/>
      <w:szCs w:val="22"/>
    </w:rPr>
  </w:style>
  <w:style w:type="character" w:customStyle="1" w:styleId="125">
    <w:name w:val="标题 2 Char"/>
    <w:autoRedefine/>
    <w:qFormat/>
    <w:uiPriority w:val="0"/>
    <w:rPr>
      <w:rFonts w:ascii="Cambria" w:hAnsi="Cambria" w:eastAsia="宋体" w:cs="Times New Roman"/>
      <w:b/>
      <w:sz w:val="30"/>
      <w:szCs w:val="32"/>
    </w:rPr>
  </w:style>
  <w:style w:type="character" w:customStyle="1" w:styleId="126">
    <w:name w:val="批注主题 Char"/>
    <w:autoRedefine/>
    <w:qFormat/>
    <w:uiPriority w:val="0"/>
    <w:rPr>
      <w:rFonts w:ascii="Calibri" w:hAnsi="Calibri" w:eastAsia="宋体" w:cs="Times New Roman"/>
      <w:b/>
      <w:kern w:val="1"/>
      <w:sz w:val="21"/>
      <w:szCs w:val="22"/>
    </w:rPr>
  </w:style>
  <w:style w:type="character" w:customStyle="1" w:styleId="127">
    <w:name w:val="标题 2 Char1"/>
    <w:link w:val="3"/>
    <w:autoRedefine/>
    <w:qFormat/>
    <w:uiPriority w:val="0"/>
    <w:rPr>
      <w:rFonts w:ascii="Cambria" w:hAnsi="Cambria" w:cs="Calibri"/>
      <w:b/>
      <w:color w:val="000000"/>
      <w:sz w:val="30"/>
      <w:szCs w:val="32"/>
    </w:rPr>
  </w:style>
  <w:style w:type="character" w:customStyle="1" w:styleId="128">
    <w:name w:val="批注框文本 Char"/>
    <w:autoRedefine/>
    <w:qFormat/>
    <w:uiPriority w:val="0"/>
    <w:rPr>
      <w:sz w:val="18"/>
      <w:szCs w:val="18"/>
    </w:rPr>
  </w:style>
  <w:style w:type="character" w:customStyle="1" w:styleId="129">
    <w:name w:val="标题 4 Char"/>
    <w:autoRedefine/>
    <w:qFormat/>
    <w:uiPriority w:val="0"/>
    <w:rPr>
      <w:rFonts w:ascii="Cambria" w:hAnsi="Cambria" w:eastAsia="宋体" w:cs="Times New Roman"/>
      <w:b/>
      <w:kern w:val="1"/>
      <w:sz w:val="28"/>
      <w:szCs w:val="28"/>
    </w:rPr>
  </w:style>
  <w:style w:type="character" w:customStyle="1" w:styleId="130">
    <w:name w:val="文档结构图 Char"/>
    <w:link w:val="23"/>
    <w:autoRedefine/>
    <w:qFormat/>
    <w:uiPriority w:val="0"/>
    <w:rPr>
      <w:rFonts w:ascii="宋体" w:cs="Calibri"/>
      <w:color w:val="000000"/>
      <w:sz w:val="18"/>
      <w:szCs w:val="18"/>
    </w:rPr>
  </w:style>
  <w:style w:type="character" w:customStyle="1" w:styleId="131">
    <w:name w:val="标题 3 Char"/>
    <w:autoRedefine/>
    <w:qFormat/>
    <w:uiPriority w:val="0"/>
    <w:rPr>
      <w:b/>
      <w:sz w:val="32"/>
      <w:szCs w:val="32"/>
    </w:rPr>
  </w:style>
  <w:style w:type="character" w:customStyle="1" w:styleId="132">
    <w:name w:val="页脚 Char"/>
    <w:autoRedefine/>
    <w:qFormat/>
    <w:uiPriority w:val="99"/>
    <w:rPr>
      <w:sz w:val="18"/>
      <w:szCs w:val="18"/>
    </w:rPr>
  </w:style>
  <w:style w:type="character" w:customStyle="1" w:styleId="133">
    <w:name w:val="标题 1 Char2"/>
    <w:link w:val="2"/>
    <w:autoRedefine/>
    <w:qFormat/>
    <w:uiPriority w:val="0"/>
    <w:rPr>
      <w:rFonts w:ascii="Calibri" w:hAnsi="Calibri" w:cs="Calibri"/>
      <w:b/>
      <w:color w:val="000000"/>
      <w:sz w:val="32"/>
      <w:szCs w:val="44"/>
    </w:rPr>
  </w:style>
  <w:style w:type="character" w:customStyle="1" w:styleId="134">
    <w:name w:val="页脚 Char1"/>
    <w:link w:val="49"/>
    <w:autoRedefine/>
    <w:qFormat/>
    <w:uiPriority w:val="0"/>
    <w:rPr>
      <w:rFonts w:ascii="Calibri" w:hAnsi="Calibri" w:cs="Calibri"/>
      <w:color w:val="000000"/>
      <w:kern w:val="1"/>
      <w:sz w:val="18"/>
      <w:szCs w:val="18"/>
    </w:rPr>
  </w:style>
  <w:style w:type="character" w:customStyle="1" w:styleId="135">
    <w:name w:val="HTML 预设格式 Char"/>
    <w:link w:val="71"/>
    <w:autoRedefine/>
    <w:qFormat/>
    <w:uiPriority w:val="0"/>
    <w:rPr>
      <w:rFonts w:ascii="宋体" w:hAnsi="宋体"/>
      <w:sz w:val="24"/>
      <w:szCs w:val="24"/>
    </w:rPr>
  </w:style>
  <w:style w:type="character" w:customStyle="1" w:styleId="136">
    <w:name w:val="标题 Char1"/>
    <w:autoRedefine/>
    <w:qFormat/>
    <w:uiPriority w:val="0"/>
    <w:rPr>
      <w:rFonts w:ascii="Cambria" w:hAnsi="Cambria" w:eastAsia="宋体" w:cs="Times New Roman"/>
      <w:b/>
      <w:sz w:val="32"/>
      <w:szCs w:val="32"/>
    </w:rPr>
  </w:style>
  <w:style w:type="character" w:customStyle="1" w:styleId="137">
    <w:name w:val="页眉 Char"/>
    <w:autoRedefine/>
    <w:qFormat/>
    <w:uiPriority w:val="0"/>
    <w:rPr>
      <w:sz w:val="18"/>
      <w:szCs w:val="18"/>
    </w:rPr>
  </w:style>
  <w:style w:type="character" w:customStyle="1" w:styleId="138">
    <w:name w:val="列出段落 字符"/>
    <w:link w:val="103"/>
    <w:autoRedefine/>
    <w:qFormat/>
    <w:uiPriority w:val="0"/>
    <w:rPr>
      <w:rFonts w:cs="Calibri"/>
      <w:color w:val="000000"/>
      <w:kern w:val="1"/>
      <w:sz w:val="21"/>
      <w:szCs w:val="22"/>
    </w:rPr>
  </w:style>
  <w:style w:type="character" w:customStyle="1" w:styleId="139">
    <w:name w:val="标题 Char"/>
    <w:autoRedefine/>
    <w:qFormat/>
    <w:uiPriority w:val="0"/>
    <w:rPr>
      <w:rFonts w:ascii="等线 Light" w:hAnsi="等线 Light" w:cs="Times New Roman"/>
      <w:b/>
      <w:sz w:val="32"/>
      <w:szCs w:val="32"/>
    </w:rPr>
  </w:style>
  <w:style w:type="character" w:customStyle="1" w:styleId="140">
    <w:name w:val="批注文字 Char"/>
    <w:autoRedefine/>
    <w:qFormat/>
    <w:uiPriority w:val="0"/>
    <w:rPr>
      <w:rFonts w:ascii="Calibri" w:hAnsi="Calibri" w:eastAsia="宋体" w:cs="Times New Roman"/>
      <w:kern w:val="1"/>
      <w:sz w:val="21"/>
      <w:szCs w:val="22"/>
    </w:rPr>
  </w:style>
  <w:style w:type="character" w:customStyle="1" w:styleId="141">
    <w:name w:val="NormalCharacter"/>
    <w:autoRedefine/>
    <w:qFormat/>
    <w:uiPriority w:val="0"/>
    <w:rPr>
      <w:rFonts w:ascii="Times New Roman" w:hAnsi="Times New Roman" w:eastAsia="宋体"/>
    </w:rPr>
  </w:style>
  <w:style w:type="character" w:customStyle="1" w:styleId="142">
    <w:name w:val="标题 Char2"/>
    <w:basedOn w:val="82"/>
    <w:link w:val="76"/>
    <w:qFormat/>
    <w:uiPriority w:val="0"/>
    <w:rPr>
      <w:rFonts w:ascii="等线 Light" w:hAnsi="等线 Light"/>
      <w:b/>
      <w:color w:val="000000"/>
      <w:kern w:val="1"/>
      <w:sz w:val="32"/>
      <w:szCs w:val="32"/>
    </w:rPr>
  </w:style>
  <w:style w:type="table" w:customStyle="1" w:styleId="143">
    <w:name w:val="Table Normal"/>
    <w:qFormat/>
    <w:uiPriority w:val="2"/>
    <w:tblPr>
      <w:tblCellMar>
        <w:top w:w="0" w:type="dxa"/>
        <w:left w:w="0" w:type="dxa"/>
        <w:bottom w:w="0" w:type="dxa"/>
        <w:right w:w="0" w:type="dxa"/>
      </w:tblCellMar>
    </w:tblPr>
  </w:style>
  <w:style w:type="paragraph" w:customStyle="1" w:styleId="144">
    <w:name w:val="目录 11"/>
    <w:basedOn w:val="1"/>
    <w:qFormat/>
    <w:uiPriority w:val="1"/>
    <w:pPr>
      <w:autoSpaceDE w:val="0"/>
      <w:autoSpaceDN w:val="0"/>
      <w:spacing w:before="43"/>
      <w:ind w:left="1349" w:right="623" w:hanging="1350"/>
      <w:jc w:val="right"/>
    </w:pPr>
    <w:rPr>
      <w:rFonts w:ascii="仿宋" w:hAnsi="仿宋" w:eastAsia="仿宋" w:cs="仿宋"/>
      <w:b/>
      <w:bCs/>
      <w:color w:val="auto"/>
      <w:szCs w:val="21"/>
      <w:lang w:val="zh-CN" w:bidi="zh-CN"/>
    </w:rPr>
  </w:style>
  <w:style w:type="paragraph" w:customStyle="1" w:styleId="145">
    <w:name w:val="目录 21"/>
    <w:basedOn w:val="1"/>
    <w:qFormat/>
    <w:uiPriority w:val="1"/>
    <w:pPr>
      <w:autoSpaceDE w:val="0"/>
      <w:autoSpaceDN w:val="0"/>
      <w:spacing w:before="43"/>
      <w:ind w:left="1349" w:right="623" w:hanging="1350"/>
      <w:jc w:val="right"/>
    </w:pPr>
    <w:rPr>
      <w:rFonts w:ascii="仿宋" w:hAnsi="仿宋" w:eastAsia="仿宋" w:cs="仿宋"/>
      <w:b/>
      <w:bCs/>
      <w:i/>
      <w:color w:val="auto"/>
      <w:sz w:val="22"/>
      <w:lang w:val="zh-CN" w:bidi="zh-CN"/>
    </w:rPr>
  </w:style>
  <w:style w:type="paragraph" w:customStyle="1" w:styleId="146">
    <w:name w:val="标题 11"/>
    <w:basedOn w:val="1"/>
    <w:qFormat/>
    <w:uiPriority w:val="1"/>
    <w:pPr>
      <w:autoSpaceDE w:val="0"/>
      <w:autoSpaceDN w:val="0"/>
      <w:ind w:left="881" w:hanging="322"/>
      <w:jc w:val="left"/>
      <w:outlineLvl w:val="1"/>
    </w:pPr>
    <w:rPr>
      <w:rFonts w:ascii="仿宋" w:hAnsi="仿宋" w:eastAsia="仿宋" w:cs="仿宋"/>
      <w:b/>
      <w:bCs/>
      <w:color w:val="auto"/>
      <w:sz w:val="32"/>
      <w:szCs w:val="32"/>
      <w:lang w:val="zh-CN" w:bidi="zh-CN"/>
    </w:rPr>
  </w:style>
  <w:style w:type="paragraph" w:customStyle="1" w:styleId="147">
    <w:name w:val="标题 21"/>
    <w:basedOn w:val="1"/>
    <w:qFormat/>
    <w:uiPriority w:val="1"/>
    <w:pPr>
      <w:autoSpaceDE w:val="0"/>
      <w:autoSpaceDN w:val="0"/>
      <w:ind w:left="1054" w:hanging="495"/>
      <w:jc w:val="left"/>
      <w:outlineLvl w:val="2"/>
    </w:pPr>
    <w:rPr>
      <w:rFonts w:ascii="仿宋" w:hAnsi="仿宋" w:eastAsia="仿宋" w:cs="仿宋"/>
      <w:b/>
      <w:bCs/>
      <w:color w:val="auto"/>
      <w:sz w:val="28"/>
      <w:szCs w:val="28"/>
      <w:lang w:val="zh-CN" w:bidi="zh-CN"/>
    </w:rPr>
  </w:style>
  <w:style w:type="paragraph" w:customStyle="1" w:styleId="148">
    <w:name w:val="表头"/>
    <w:basedOn w:val="1"/>
    <w:link w:val="188"/>
    <w:qFormat/>
    <w:uiPriority w:val="0"/>
    <w:pPr>
      <w:topLinePunct/>
      <w:autoSpaceDE w:val="0"/>
      <w:autoSpaceDN w:val="0"/>
      <w:spacing w:before="160" w:after="60"/>
      <w:jc w:val="center"/>
    </w:pPr>
    <w:rPr>
      <w:rFonts w:ascii="仿宋" w:hAnsi="仿宋" w:eastAsia="黑体" w:cs="仿宋"/>
      <w:color w:val="auto"/>
      <w:sz w:val="22"/>
      <w:szCs w:val="21"/>
      <w:lang w:val="zh-CN" w:bidi="zh-CN"/>
    </w:rPr>
  </w:style>
  <w:style w:type="paragraph" w:customStyle="1" w:styleId="149">
    <w:name w:val="样式1"/>
    <w:basedOn w:val="1"/>
    <w:qFormat/>
    <w:uiPriority w:val="0"/>
    <w:pPr>
      <w:autoSpaceDE w:val="0"/>
      <w:autoSpaceDN w:val="0"/>
      <w:jc w:val="left"/>
    </w:pPr>
    <w:rPr>
      <w:rFonts w:ascii="仿宋" w:hAnsi="仿宋" w:eastAsia="仿宋" w:cs="仿宋"/>
      <w:color w:val="auto"/>
      <w:sz w:val="28"/>
      <w:szCs w:val="24"/>
      <w:lang w:val="zh-CN" w:bidi="zh-CN"/>
    </w:rPr>
  </w:style>
  <w:style w:type="paragraph" w:customStyle="1" w:styleId="150">
    <w:name w:val="批注框文本1"/>
    <w:basedOn w:val="1"/>
    <w:qFormat/>
    <w:uiPriority w:val="0"/>
    <w:pPr>
      <w:autoSpaceDE w:val="0"/>
      <w:autoSpaceDN w:val="0"/>
      <w:jc w:val="left"/>
    </w:pPr>
    <w:rPr>
      <w:rFonts w:ascii="仿宋" w:hAnsi="仿宋" w:eastAsia="仿宋" w:cs="仿宋"/>
      <w:color w:val="auto"/>
      <w:sz w:val="18"/>
      <w:szCs w:val="18"/>
      <w:lang w:val="zh-CN" w:bidi="zh-CN"/>
    </w:rPr>
  </w:style>
  <w:style w:type="paragraph" w:customStyle="1" w:styleId="151">
    <w:name w:val="页眉1"/>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仿宋" w:hAnsi="仿宋" w:eastAsia="仿宋" w:cs="仿宋"/>
      <w:color w:val="auto"/>
      <w:sz w:val="18"/>
      <w:lang w:val="zh-CN" w:bidi="zh-CN"/>
    </w:rPr>
  </w:style>
  <w:style w:type="paragraph" w:customStyle="1" w:styleId="152">
    <w:name w:val="正文文本缩进 31"/>
    <w:basedOn w:val="1"/>
    <w:qFormat/>
    <w:uiPriority w:val="0"/>
    <w:pPr>
      <w:tabs>
        <w:tab w:val="left" w:pos="600"/>
      </w:tabs>
      <w:autoSpaceDE w:val="0"/>
      <w:autoSpaceDN w:val="0"/>
      <w:spacing w:line="360" w:lineRule="auto"/>
      <w:ind w:firstLine="420"/>
      <w:jc w:val="left"/>
    </w:pPr>
    <w:rPr>
      <w:rFonts w:ascii="仿宋" w:hAnsi="仿宋" w:eastAsia="仿宋" w:cs="仿宋"/>
      <w:color w:val="auto"/>
      <w:sz w:val="24"/>
      <w:lang w:val="zh-CN" w:bidi="zh-CN"/>
    </w:rPr>
  </w:style>
  <w:style w:type="paragraph" w:customStyle="1" w:styleId="153">
    <w:name w:val="页脚1"/>
    <w:basedOn w:val="1"/>
    <w:qFormat/>
    <w:uiPriority w:val="0"/>
    <w:pPr>
      <w:tabs>
        <w:tab w:val="center" w:pos="4153"/>
        <w:tab w:val="right" w:pos="8306"/>
      </w:tabs>
      <w:autoSpaceDE w:val="0"/>
      <w:autoSpaceDN w:val="0"/>
      <w:adjustRightInd w:val="0"/>
      <w:jc w:val="left"/>
      <w:textAlignment w:val="baseline"/>
    </w:pPr>
    <w:rPr>
      <w:rFonts w:ascii="仿宋" w:hAnsi="仿宋" w:eastAsia="仿宋" w:cs="仿宋"/>
      <w:color w:val="auto"/>
      <w:sz w:val="18"/>
      <w:lang w:val="zh-CN" w:bidi="zh-CN"/>
    </w:rPr>
  </w:style>
  <w:style w:type="paragraph" w:customStyle="1" w:styleId="154">
    <w:name w:val="正文文本缩进1"/>
    <w:basedOn w:val="1"/>
    <w:qFormat/>
    <w:uiPriority w:val="0"/>
    <w:pPr>
      <w:autoSpaceDE w:val="0"/>
      <w:autoSpaceDN w:val="0"/>
      <w:adjustRightInd w:val="0"/>
      <w:spacing w:line="360" w:lineRule="auto"/>
      <w:ind w:firstLine="480"/>
      <w:jc w:val="left"/>
      <w:textAlignment w:val="baseline"/>
    </w:pPr>
    <w:rPr>
      <w:rFonts w:ascii="仿宋" w:hAnsi="仿宋" w:eastAsia="仿宋" w:cs="仿宋"/>
      <w:color w:val="auto"/>
      <w:sz w:val="24"/>
      <w:lang w:val="zh-CN" w:bidi="zh-CN"/>
    </w:rPr>
  </w:style>
  <w:style w:type="paragraph" w:customStyle="1" w:styleId="155">
    <w:name w:val="样式2"/>
    <w:basedOn w:val="149"/>
    <w:qFormat/>
    <w:uiPriority w:val="0"/>
  </w:style>
  <w:style w:type="paragraph" w:customStyle="1" w:styleId="156">
    <w:name w:val="b"/>
    <w:basedOn w:val="148"/>
    <w:qFormat/>
    <w:uiPriority w:val="0"/>
    <w:pPr>
      <w:tabs>
        <w:tab w:val="center" w:pos="4706"/>
        <w:tab w:val="right" w:pos="9044"/>
      </w:tabs>
    </w:pPr>
    <w:rPr>
      <w:rFonts w:ascii="Arial" w:hAnsi="Arial"/>
    </w:rPr>
  </w:style>
  <w:style w:type="paragraph" w:customStyle="1" w:styleId="157">
    <w:name w:val="Bg"/>
    <w:qFormat/>
    <w:uiPriority w:val="0"/>
    <w:pPr>
      <w:widowControl w:val="0"/>
      <w:topLinePunct/>
      <w:snapToGrid w:val="0"/>
      <w:spacing w:before="60" w:after="60"/>
      <w:jc w:val="center"/>
    </w:pPr>
    <w:rPr>
      <w:rFonts w:ascii="Calibri" w:hAnsi="Calibri" w:eastAsia="宋体" w:cs="Times New Roman"/>
      <w:kern w:val="2"/>
      <w:sz w:val="18"/>
      <w:lang w:val="en-US" w:eastAsia="zh-CN" w:bidi="ar-SA"/>
    </w:rPr>
  </w:style>
  <w:style w:type="paragraph" w:customStyle="1" w:styleId="158">
    <w:name w:val="样式1 样式 标题 6 + 段前: 0.1 行 + Times New Roman 段前: 0.1 行"/>
    <w:basedOn w:val="1"/>
    <w:qFormat/>
    <w:uiPriority w:val="0"/>
    <w:pPr>
      <w:tabs>
        <w:tab w:val="left" w:pos="210"/>
        <w:tab w:val="left" w:pos="1080"/>
      </w:tabs>
      <w:autoSpaceDE w:val="0"/>
      <w:autoSpaceDN w:val="0"/>
      <w:spacing w:line="276" w:lineRule="auto"/>
      <w:jc w:val="left"/>
      <w:outlineLvl w:val="5"/>
    </w:pPr>
    <w:rPr>
      <w:rFonts w:ascii="仿宋" w:hAnsi="仿宋" w:eastAsia="仿宋" w:cs="仿宋"/>
      <w:b/>
      <w:color w:val="auto"/>
      <w:sz w:val="22"/>
      <w:lang w:val="zh-CN" w:bidi="zh-CN"/>
    </w:rPr>
  </w:style>
  <w:style w:type="character" w:customStyle="1" w:styleId="159">
    <w:name w:val="页码1"/>
    <w:qFormat/>
    <w:uiPriority w:val="0"/>
    <w:rPr>
      <w:sz w:val="20"/>
    </w:rPr>
  </w:style>
  <w:style w:type="paragraph" w:customStyle="1" w:styleId="160">
    <w:name w:val="一级条标题"/>
    <w:next w:val="1"/>
    <w:link w:val="21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61">
    <w:name w:val="3z"/>
    <w:basedOn w:val="1"/>
    <w:qFormat/>
    <w:uiPriority w:val="0"/>
    <w:pPr>
      <w:topLinePunct/>
      <w:autoSpaceDE w:val="0"/>
      <w:autoSpaceDN w:val="0"/>
      <w:spacing w:line="312" w:lineRule="exact"/>
      <w:jc w:val="left"/>
    </w:pPr>
    <w:rPr>
      <w:rFonts w:ascii="EU-F1" w:hAnsi="仿宋" w:eastAsia="黑体" w:cs="仿宋"/>
      <w:color w:val="auto"/>
      <w:sz w:val="22"/>
      <w:szCs w:val="21"/>
      <w:lang w:val="zh-CN" w:bidi="zh-CN"/>
    </w:rPr>
  </w:style>
  <w:style w:type="paragraph" w:customStyle="1" w:styleId="162">
    <w:name w:val="B"/>
    <w:basedOn w:val="148"/>
    <w:qFormat/>
    <w:uiPriority w:val="0"/>
    <w:pPr>
      <w:tabs>
        <w:tab w:val="center" w:pos="4706"/>
        <w:tab w:val="right" w:pos="9044"/>
      </w:tabs>
      <w:spacing w:line="312" w:lineRule="exact"/>
    </w:pPr>
    <w:rPr>
      <w:rFonts w:ascii="E-F1"/>
    </w:rPr>
  </w:style>
  <w:style w:type="paragraph" w:customStyle="1" w:styleId="163">
    <w:name w:val="wang正文"/>
    <w:basedOn w:val="1"/>
    <w:qFormat/>
    <w:uiPriority w:val="0"/>
    <w:pPr>
      <w:tabs>
        <w:tab w:val="left" w:pos="6840"/>
      </w:tabs>
      <w:autoSpaceDE w:val="0"/>
      <w:autoSpaceDN w:val="0"/>
      <w:adjustRightInd w:val="0"/>
      <w:ind w:firstLine="480" w:firstLineChars="200"/>
      <w:jc w:val="left"/>
      <w:textAlignment w:val="baseline"/>
    </w:pPr>
    <w:rPr>
      <w:rFonts w:ascii="宋体" w:hAnsi="仿宋" w:eastAsia="仿宋" w:cs="仿宋"/>
      <w:color w:val="auto"/>
      <w:sz w:val="24"/>
      <w:lang w:val="zh-CN" w:bidi="zh-CN"/>
    </w:rPr>
  </w:style>
  <w:style w:type="paragraph" w:customStyle="1" w:styleId="164">
    <w:name w:val="xl139"/>
    <w:basedOn w:val="1"/>
    <w:qFormat/>
    <w:uiPriority w:val="0"/>
    <w:pPr>
      <w:widowControl/>
      <w:pBdr>
        <w:left w:val="single" w:color="auto" w:sz="8" w:space="0"/>
      </w:pBdr>
      <w:autoSpaceDE w:val="0"/>
      <w:autoSpaceDN w:val="0"/>
      <w:spacing w:before="100" w:beforeAutospacing="1" w:after="100" w:afterAutospacing="1"/>
      <w:jc w:val="center"/>
      <w:textAlignment w:val="center"/>
    </w:pPr>
    <w:rPr>
      <w:rFonts w:ascii="Arial" w:hAnsi="Arial" w:eastAsia="仿宋" w:cs="仿宋"/>
      <w:b/>
      <w:color w:val="auto"/>
      <w:sz w:val="24"/>
      <w:lang w:val="zh-CN" w:bidi="zh-CN"/>
    </w:rPr>
  </w:style>
  <w:style w:type="character" w:customStyle="1" w:styleId="165">
    <w:name w:val="标题 5 字符"/>
    <w:basedOn w:val="82"/>
    <w:semiHidden/>
    <w:qFormat/>
    <w:uiPriority w:val="0"/>
    <w:rPr>
      <w:rFonts w:cs="Calibri"/>
      <w:b/>
      <w:bCs/>
      <w:color w:val="000000"/>
      <w:sz w:val="28"/>
      <w:szCs w:val="28"/>
    </w:rPr>
  </w:style>
  <w:style w:type="character" w:customStyle="1" w:styleId="166">
    <w:name w:val="标题 6 Char"/>
    <w:basedOn w:val="82"/>
    <w:link w:val="7"/>
    <w:qFormat/>
    <w:uiPriority w:val="0"/>
    <w:rPr>
      <w:rFonts w:ascii="Arial" w:hAnsi="Arial" w:eastAsia="黑体"/>
      <w:b/>
      <w:kern w:val="2"/>
      <w:sz w:val="24"/>
    </w:rPr>
  </w:style>
  <w:style w:type="character" w:customStyle="1" w:styleId="167">
    <w:name w:val="标题 8 Char"/>
    <w:basedOn w:val="82"/>
    <w:link w:val="9"/>
    <w:qFormat/>
    <w:uiPriority w:val="0"/>
    <w:rPr>
      <w:rFonts w:ascii="Arial" w:hAnsi="Arial" w:eastAsia="黑体"/>
      <w:kern w:val="2"/>
      <w:sz w:val="24"/>
    </w:rPr>
  </w:style>
  <w:style w:type="character" w:customStyle="1" w:styleId="168">
    <w:name w:val="标题 9 Char"/>
    <w:basedOn w:val="82"/>
    <w:link w:val="10"/>
    <w:qFormat/>
    <w:uiPriority w:val="0"/>
    <w:rPr>
      <w:rFonts w:ascii="Arial" w:hAnsi="Arial" w:eastAsia="黑体"/>
      <w:kern w:val="2"/>
      <w:sz w:val="21"/>
    </w:rPr>
  </w:style>
  <w:style w:type="character" w:customStyle="1" w:styleId="169">
    <w:name w:val="正文缩进 Char"/>
    <w:qFormat/>
    <w:uiPriority w:val="0"/>
    <w:rPr>
      <w:rFonts w:eastAsia="宋体"/>
      <w:kern w:val="2"/>
      <w:sz w:val="21"/>
      <w:lang w:val="en-US" w:eastAsia="zh-CN"/>
    </w:rPr>
  </w:style>
  <w:style w:type="character" w:customStyle="1" w:styleId="170">
    <w:name w:val="发布"/>
    <w:qFormat/>
    <w:uiPriority w:val="0"/>
    <w:rPr>
      <w:rFonts w:ascii="黑体" w:eastAsia="黑体"/>
      <w:spacing w:val="22"/>
      <w:w w:val="100"/>
      <w:position w:val="3"/>
      <w:sz w:val="28"/>
    </w:rPr>
  </w:style>
  <w:style w:type="character" w:customStyle="1" w:styleId="171">
    <w:name w:val="脚注文本 Char"/>
    <w:link w:val="60"/>
    <w:qFormat/>
    <w:uiPriority w:val="0"/>
    <w:rPr>
      <w:kern w:val="2"/>
      <w:sz w:val="18"/>
    </w:rPr>
  </w:style>
  <w:style w:type="character" w:customStyle="1" w:styleId="172">
    <w:name w:val="普通文字 Char Char Char"/>
    <w:qFormat/>
    <w:uiPriority w:val="0"/>
    <w:rPr>
      <w:rFonts w:ascii="宋体" w:hAnsi="Courier New" w:eastAsia="宋体"/>
      <w:kern w:val="2"/>
      <w:sz w:val="21"/>
      <w:lang w:val="en-US" w:eastAsia="zh-CN"/>
    </w:rPr>
  </w:style>
  <w:style w:type="character" w:customStyle="1" w:styleId="173">
    <w:name w:val="个人撰写风格"/>
    <w:qFormat/>
    <w:uiPriority w:val="0"/>
    <w:rPr>
      <w:rFonts w:ascii="Arial" w:hAnsi="Arial" w:eastAsia="宋体"/>
      <w:color w:val="auto"/>
      <w:sz w:val="20"/>
    </w:rPr>
  </w:style>
  <w:style w:type="character" w:customStyle="1" w:styleId="174">
    <w:name w:val="表内居两端对齐 Char"/>
    <w:basedOn w:val="175"/>
    <w:link w:val="177"/>
    <w:qFormat/>
    <w:uiPriority w:val="0"/>
    <w:rPr>
      <w:kern w:val="2"/>
      <w:sz w:val="18"/>
    </w:rPr>
  </w:style>
  <w:style w:type="character" w:customStyle="1" w:styleId="175">
    <w:name w:val="表内居中小五 Char"/>
    <w:link w:val="176"/>
    <w:qFormat/>
    <w:uiPriority w:val="0"/>
    <w:rPr>
      <w:kern w:val="2"/>
      <w:sz w:val="18"/>
    </w:rPr>
  </w:style>
  <w:style w:type="paragraph" w:customStyle="1" w:styleId="176">
    <w:name w:val="表内居中小五"/>
    <w:basedOn w:val="1"/>
    <w:link w:val="175"/>
    <w:qFormat/>
    <w:uiPriority w:val="0"/>
    <w:pPr>
      <w:jc w:val="center"/>
    </w:pPr>
    <w:rPr>
      <w:rFonts w:cs="Times New Roman"/>
      <w:color w:val="auto"/>
      <w:kern w:val="2"/>
      <w:sz w:val="18"/>
      <w:szCs w:val="20"/>
    </w:rPr>
  </w:style>
  <w:style w:type="paragraph" w:customStyle="1" w:styleId="177">
    <w:name w:val="表内居两端对齐"/>
    <w:basedOn w:val="176"/>
    <w:link w:val="174"/>
    <w:qFormat/>
    <w:uiPriority w:val="0"/>
    <w:pPr>
      <w:jc w:val="both"/>
    </w:pPr>
  </w:style>
  <w:style w:type="character" w:customStyle="1" w:styleId="178">
    <w:name w:val="标题 5 Char"/>
    <w:qFormat/>
    <w:uiPriority w:val="0"/>
    <w:rPr>
      <w:rFonts w:eastAsia="宋体"/>
      <w:sz w:val="21"/>
      <w:lang w:val="en-US" w:eastAsia="zh-CN"/>
    </w:rPr>
  </w:style>
  <w:style w:type="character" w:customStyle="1" w:styleId="179">
    <w:name w:val="正文缩进 Char1"/>
    <w:link w:val="18"/>
    <w:qFormat/>
    <w:uiPriority w:val="0"/>
    <w:rPr>
      <w:rFonts w:cs="Calibri"/>
      <w:color w:val="000000"/>
      <w:kern w:val="1"/>
      <w:sz w:val="21"/>
      <w:szCs w:val="22"/>
      <w:lang w:val="zh-CN"/>
    </w:rPr>
  </w:style>
  <w:style w:type="character" w:customStyle="1" w:styleId="180">
    <w:name w:val="Char Char16"/>
    <w:qFormat/>
    <w:uiPriority w:val="0"/>
    <w:rPr>
      <w:rFonts w:ascii="Arial" w:hAnsi="Arial" w:eastAsia="黑体"/>
      <w:b/>
      <w:kern w:val="2"/>
      <w:sz w:val="32"/>
      <w:lang w:val="en-US" w:eastAsia="zh-CN"/>
    </w:rPr>
  </w:style>
  <w:style w:type="character" w:customStyle="1" w:styleId="181">
    <w:name w:val="节标题 1.1 Char"/>
    <w:qFormat/>
    <w:uiPriority w:val="0"/>
    <w:rPr>
      <w:rFonts w:eastAsia="黑体"/>
      <w:kern w:val="2"/>
      <w:sz w:val="21"/>
      <w:lang w:val="en-US" w:eastAsia="zh-CN"/>
    </w:rPr>
  </w:style>
  <w:style w:type="character" w:customStyle="1" w:styleId="182">
    <w:name w:val="样式 标题 3 + 宋体 Char"/>
    <w:link w:val="183"/>
    <w:qFormat/>
    <w:uiPriority w:val="0"/>
    <w:rPr>
      <w:rFonts w:ascii="宋体" w:hAnsi="宋体"/>
      <w:kern w:val="2"/>
      <w:sz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cs="Times New Roman"/>
      <w:b w:val="0"/>
      <w:color w:val="auto"/>
      <w:kern w:val="2"/>
      <w:sz w:val="21"/>
      <w:szCs w:val="20"/>
    </w:rPr>
  </w:style>
  <w:style w:type="paragraph" w:customStyle="1" w:styleId="184">
    <w:name w:val="_Style 124"/>
    <w:basedOn w:val="1"/>
    <w:next w:val="1"/>
    <w:qFormat/>
    <w:uiPriority w:val="39"/>
    <w:pPr>
      <w:tabs>
        <w:tab w:val="left" w:pos="420"/>
        <w:tab w:val="right" w:leader="dot" w:pos="8705"/>
      </w:tabs>
    </w:pPr>
    <w:rPr>
      <w:rFonts w:cs="Times New Roman"/>
      <w:b/>
      <w:color w:val="auto"/>
      <w:kern w:val="2"/>
      <w:szCs w:val="20"/>
    </w:rPr>
  </w:style>
  <w:style w:type="character" w:customStyle="1" w:styleId="185">
    <w:name w:val="标题 1 Char1"/>
    <w:qFormat/>
    <w:uiPriority w:val="0"/>
    <w:rPr>
      <w:rFonts w:eastAsia="汉仪大宋简"/>
      <w:kern w:val="44"/>
      <w:sz w:val="22"/>
    </w:rPr>
  </w:style>
  <w:style w:type="character" w:customStyle="1" w:styleId="186">
    <w:name w:val="标题 1 Char Char"/>
    <w:qFormat/>
    <w:uiPriority w:val="0"/>
    <w:rPr>
      <w:rFonts w:ascii="宋体" w:eastAsia="宋体"/>
      <w:b/>
      <w:kern w:val="44"/>
      <w:sz w:val="21"/>
      <w:lang w:val="en-US" w:eastAsia="zh-CN"/>
    </w:rPr>
  </w:style>
  <w:style w:type="character" w:customStyle="1" w:styleId="187">
    <w:name w:val="Char Char4"/>
    <w:qFormat/>
    <w:uiPriority w:val="0"/>
    <w:rPr>
      <w:rFonts w:eastAsia="汉仪大宋简"/>
      <w:kern w:val="44"/>
      <w:sz w:val="22"/>
      <w:lang w:val="en-US" w:eastAsia="zh-CN"/>
    </w:rPr>
  </w:style>
  <w:style w:type="character" w:customStyle="1" w:styleId="188">
    <w:name w:val="表头 Char"/>
    <w:link w:val="148"/>
    <w:qFormat/>
    <w:uiPriority w:val="0"/>
    <w:rPr>
      <w:rFonts w:ascii="仿宋" w:hAnsi="仿宋" w:eastAsia="黑体" w:cs="仿宋"/>
      <w:sz w:val="22"/>
      <w:szCs w:val="21"/>
      <w:lang w:val="zh-CN" w:bidi="zh-CN"/>
    </w:rPr>
  </w:style>
  <w:style w:type="character" w:customStyle="1" w:styleId="189">
    <w:name w:val="jl 正文 Char Char Char"/>
    <w:link w:val="190"/>
    <w:qFormat/>
    <w:uiPriority w:val="0"/>
    <w:rPr>
      <w:rFonts w:ascii="宋体"/>
      <w:kern w:val="2"/>
      <w:sz w:val="24"/>
    </w:rPr>
  </w:style>
  <w:style w:type="paragraph" w:customStyle="1" w:styleId="190">
    <w:name w:val="jl 正文 Char Char"/>
    <w:basedOn w:val="1"/>
    <w:link w:val="189"/>
    <w:qFormat/>
    <w:uiPriority w:val="0"/>
    <w:pPr>
      <w:autoSpaceDE w:val="0"/>
      <w:autoSpaceDN w:val="0"/>
      <w:adjustRightInd w:val="0"/>
      <w:ind w:firstLine="200" w:firstLineChars="200"/>
      <w:jc w:val="left"/>
      <w:textAlignment w:val="baseline"/>
    </w:pPr>
    <w:rPr>
      <w:rFonts w:ascii="宋体" w:cs="Times New Roman"/>
      <w:color w:val="auto"/>
      <w:kern w:val="2"/>
      <w:sz w:val="24"/>
      <w:szCs w:val="20"/>
    </w:rPr>
  </w:style>
  <w:style w:type="character" w:customStyle="1" w:styleId="191">
    <w:name w:val="二级条标题 Char"/>
    <w:link w:val="192"/>
    <w:qFormat/>
    <w:uiPriority w:val="0"/>
    <w:rPr>
      <w:rFonts w:ascii="黑体" w:eastAsia="黑体"/>
      <w:b/>
      <w:sz w:val="21"/>
    </w:rPr>
  </w:style>
  <w:style w:type="paragraph" w:customStyle="1" w:styleId="192">
    <w:name w:val="二级条标题"/>
    <w:basedOn w:val="1"/>
    <w:next w:val="1"/>
    <w:link w:val="191"/>
    <w:qFormat/>
    <w:uiPriority w:val="0"/>
    <w:pPr>
      <w:widowControl/>
      <w:outlineLvl w:val="3"/>
    </w:pPr>
    <w:rPr>
      <w:rFonts w:ascii="黑体" w:eastAsia="黑体" w:cs="Times New Roman"/>
      <w:b/>
      <w:color w:val="auto"/>
      <w:szCs w:val="20"/>
    </w:rPr>
  </w:style>
  <w:style w:type="character" w:customStyle="1" w:styleId="193">
    <w:name w:val="样式6 Char"/>
    <w:link w:val="194"/>
    <w:qFormat/>
    <w:uiPriority w:val="0"/>
    <w:rPr>
      <w:kern w:val="2"/>
      <w:sz w:val="21"/>
    </w:rPr>
  </w:style>
  <w:style w:type="paragraph" w:customStyle="1" w:styleId="194">
    <w:name w:val="样式6"/>
    <w:basedOn w:val="1"/>
    <w:link w:val="193"/>
    <w:qFormat/>
    <w:uiPriority w:val="0"/>
    <w:pPr>
      <w:numPr>
        <w:ilvl w:val="2"/>
        <w:numId w:val="13"/>
      </w:numPr>
      <w:tabs>
        <w:tab w:val="left" w:pos="1571"/>
        <w:tab w:val="left" w:pos="1620"/>
      </w:tabs>
    </w:pPr>
    <w:rPr>
      <w:rFonts w:cs="Times New Roman"/>
      <w:color w:val="auto"/>
      <w:kern w:val="2"/>
      <w:szCs w:val="20"/>
    </w:rPr>
  </w:style>
  <w:style w:type="character" w:customStyle="1" w:styleId="195">
    <w:name w:val="个人答复风格"/>
    <w:qFormat/>
    <w:uiPriority w:val="0"/>
    <w:rPr>
      <w:rFonts w:ascii="Arial" w:hAnsi="Arial" w:eastAsia="宋体"/>
      <w:color w:val="auto"/>
      <w:sz w:val="20"/>
    </w:rPr>
  </w:style>
  <w:style w:type="character" w:customStyle="1" w:styleId="196">
    <w:name w:val="正文格式 Char"/>
    <w:link w:val="197"/>
    <w:qFormat/>
    <w:uiPriority w:val="0"/>
    <w:rPr>
      <w:rFonts w:ascii="宋体" w:hAnsi="宋体"/>
      <w:kern w:val="2"/>
      <w:sz w:val="21"/>
    </w:rPr>
  </w:style>
  <w:style w:type="paragraph" w:customStyle="1" w:styleId="197">
    <w:name w:val="正文格式"/>
    <w:basedOn w:val="1"/>
    <w:link w:val="196"/>
    <w:qFormat/>
    <w:uiPriority w:val="0"/>
    <w:pPr>
      <w:topLinePunct/>
      <w:ind w:firstLine="420" w:firstLineChars="200"/>
    </w:pPr>
    <w:rPr>
      <w:rFonts w:ascii="宋体" w:hAnsi="宋体" w:cs="Times New Roman"/>
      <w:color w:val="auto"/>
      <w:kern w:val="2"/>
      <w:szCs w:val="20"/>
    </w:rPr>
  </w:style>
  <w:style w:type="character" w:customStyle="1" w:styleId="198">
    <w:name w:val="标题1.1.1.1.1 Char"/>
    <w:qFormat/>
    <w:uiPriority w:val="0"/>
    <w:rPr>
      <w:rFonts w:eastAsia="宋体"/>
      <w:b/>
      <w:kern w:val="2"/>
      <w:sz w:val="28"/>
      <w:lang w:val="en-US" w:eastAsia="zh-CN"/>
    </w:rPr>
  </w:style>
  <w:style w:type="character" w:customStyle="1" w:styleId="199">
    <w:name w:val="标题 4 Char Char"/>
    <w:qFormat/>
    <w:uiPriority w:val="0"/>
    <w:rPr>
      <w:rFonts w:ascii="宋体" w:eastAsia="宋体"/>
      <w:kern w:val="2"/>
      <w:sz w:val="21"/>
      <w:lang w:val="en-US" w:eastAsia="zh-CN"/>
    </w:rPr>
  </w:style>
  <w:style w:type="character" w:customStyle="1" w:styleId="200">
    <w:name w:val="Normal1 Char"/>
    <w:link w:val="201"/>
    <w:qFormat/>
    <w:uiPriority w:val="0"/>
    <w:rPr>
      <w:rFonts w:ascii="宋体"/>
      <w:sz w:val="24"/>
      <w:lang w:val="en-US" w:eastAsia="zh-CN"/>
    </w:rPr>
  </w:style>
  <w:style w:type="paragraph" w:customStyle="1" w:styleId="201">
    <w:name w:val="Normal1"/>
    <w:link w:val="200"/>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2">
    <w:name w:val="正文文本缩进 Char"/>
    <w:qFormat/>
    <w:uiPriority w:val="0"/>
    <w:rPr>
      <w:kern w:val="2"/>
      <w:sz w:val="21"/>
    </w:rPr>
  </w:style>
  <w:style w:type="character" w:customStyle="1" w:styleId="203">
    <w:name w:val="articlebody21"/>
    <w:qFormat/>
    <w:uiPriority w:val="0"/>
    <w:rPr>
      <w:rFonts w:hint="default"/>
      <w:sz w:val="21"/>
    </w:rPr>
  </w:style>
  <w:style w:type="character" w:customStyle="1" w:styleId="204">
    <w:name w:val="标题 5 Char1"/>
    <w:link w:val="6"/>
    <w:qFormat/>
    <w:uiPriority w:val="0"/>
    <w:rPr>
      <w:rFonts w:eastAsia="黑体"/>
      <w:kern w:val="2"/>
      <w:sz w:val="21"/>
    </w:rPr>
  </w:style>
  <w:style w:type="character" w:customStyle="1" w:styleId="205">
    <w:name w:val="样式 Arial"/>
    <w:qFormat/>
    <w:uiPriority w:val="0"/>
    <w:rPr>
      <w:rFonts w:hint="default" w:ascii="Times New Roman" w:hAnsi="Times New Roman" w:eastAsia="宋体"/>
      <w:sz w:val="21"/>
    </w:rPr>
  </w:style>
  <w:style w:type="character" w:customStyle="1" w:styleId="206">
    <w:name w:val="Char Char14"/>
    <w:qFormat/>
    <w:uiPriority w:val="0"/>
    <w:rPr>
      <w:rFonts w:eastAsia="宋体"/>
      <w:kern w:val="2"/>
      <w:sz w:val="21"/>
      <w:lang w:val="en-US" w:eastAsia="zh-CN"/>
    </w:rPr>
  </w:style>
  <w:style w:type="character" w:customStyle="1" w:styleId="207">
    <w:name w:val="样式 标题 1 + 加粗 Char"/>
    <w:link w:val="208"/>
    <w:qFormat/>
    <w:uiPriority w:val="0"/>
    <w:rPr>
      <w:rFonts w:eastAsia="黑体"/>
      <w:b/>
      <w:kern w:val="44"/>
      <w:sz w:val="28"/>
    </w:rPr>
  </w:style>
  <w:style w:type="paragraph" w:customStyle="1" w:styleId="208">
    <w:name w:val="样式 标题 1 + 加粗"/>
    <w:basedOn w:val="2"/>
    <w:link w:val="207"/>
    <w:qFormat/>
    <w:uiPriority w:val="0"/>
    <w:pPr>
      <w:spacing w:beforeLines="100" w:afterLines="100"/>
      <w:jc w:val="both"/>
    </w:pPr>
    <w:rPr>
      <w:rFonts w:ascii="Times New Roman" w:hAnsi="Times New Roman" w:eastAsia="黑体"/>
      <w:color w:val="auto"/>
      <w:kern w:val="44"/>
      <w:sz w:val="28"/>
      <w:szCs w:val="20"/>
    </w:rPr>
  </w:style>
  <w:style w:type="character" w:customStyle="1" w:styleId="209">
    <w:name w:val="Char Char2"/>
    <w:qFormat/>
    <w:uiPriority w:val="0"/>
    <w:rPr>
      <w:rFonts w:eastAsia="汉仪大宋简"/>
      <w:kern w:val="44"/>
      <w:sz w:val="22"/>
      <w:lang w:val="en-US" w:eastAsia="zh-CN"/>
    </w:rPr>
  </w:style>
  <w:style w:type="character" w:customStyle="1" w:styleId="210">
    <w:name w:val="纯文本 Char"/>
    <w:link w:val="41"/>
    <w:qFormat/>
    <w:uiPriority w:val="0"/>
    <w:rPr>
      <w:rFonts w:ascii="宋体" w:hAnsi="Courier New" w:cs="Courier New"/>
      <w:kern w:val="2"/>
      <w:sz w:val="21"/>
      <w:szCs w:val="21"/>
    </w:rPr>
  </w:style>
  <w:style w:type="character" w:customStyle="1" w:styleId="211">
    <w:name w:val="首行缩进 Char"/>
    <w:link w:val="212"/>
    <w:qFormat/>
    <w:uiPriority w:val="0"/>
    <w:rPr>
      <w:rFonts w:eastAsia="方正书宋简体"/>
      <w:kern w:val="2"/>
      <w:sz w:val="21"/>
    </w:rPr>
  </w:style>
  <w:style w:type="paragraph" w:customStyle="1" w:styleId="212">
    <w:name w:val="首行缩进"/>
    <w:basedOn w:val="1"/>
    <w:link w:val="211"/>
    <w:qFormat/>
    <w:uiPriority w:val="0"/>
    <w:pPr>
      <w:spacing w:line="300" w:lineRule="auto"/>
      <w:ind w:firstLine="420" w:firstLineChars="200"/>
    </w:pPr>
    <w:rPr>
      <w:rFonts w:eastAsia="方正书宋简体" w:cs="Times New Roman"/>
      <w:color w:val="auto"/>
      <w:kern w:val="2"/>
      <w:szCs w:val="20"/>
    </w:rPr>
  </w:style>
  <w:style w:type="character" w:customStyle="1" w:styleId="213">
    <w:name w:val="样式 标题 4 + (符号) 宋体 Char"/>
    <w:link w:val="214"/>
    <w:qFormat/>
    <w:uiPriority w:val="0"/>
    <w:rPr>
      <w:rFonts w:ascii="宋体"/>
      <w:kern w:val="2"/>
      <w:sz w:val="21"/>
    </w:rPr>
  </w:style>
  <w:style w:type="paragraph" w:customStyle="1" w:styleId="214">
    <w:name w:val="样式 标题 4 + (符号) 宋体"/>
    <w:basedOn w:val="5"/>
    <w:link w:val="213"/>
    <w:qFormat/>
    <w:uiPriority w:val="0"/>
    <w:pPr>
      <w:keepNext w:val="0"/>
      <w:keepLines w:val="0"/>
      <w:numPr>
        <w:ilvl w:val="3"/>
        <w:numId w:val="1"/>
      </w:numPr>
      <w:tabs>
        <w:tab w:val="left" w:pos="2976"/>
      </w:tabs>
      <w:adjustRightInd w:val="0"/>
      <w:snapToGrid w:val="0"/>
      <w:spacing w:before="0" w:after="0" w:line="360" w:lineRule="auto"/>
    </w:pPr>
    <w:rPr>
      <w:rFonts w:ascii="宋体" w:hAnsi="Times New Roman" w:cs="Times New Roman"/>
      <w:b w:val="0"/>
      <w:color w:val="auto"/>
      <w:kern w:val="2"/>
      <w:sz w:val="21"/>
      <w:szCs w:val="20"/>
    </w:rPr>
  </w:style>
  <w:style w:type="character" w:customStyle="1" w:styleId="215">
    <w:name w:val="一级条标题 Char"/>
    <w:link w:val="160"/>
    <w:qFormat/>
    <w:uiPriority w:val="0"/>
    <w:rPr>
      <w:rFonts w:ascii="黑体" w:eastAsia="黑体"/>
      <w:sz w:val="21"/>
      <w:szCs w:val="21"/>
    </w:rPr>
  </w:style>
  <w:style w:type="character" w:customStyle="1" w:styleId="216">
    <w:name w:val="jl 三级 Char Char"/>
    <w:link w:val="217"/>
    <w:qFormat/>
    <w:uiPriority w:val="0"/>
    <w:rPr>
      <w:rFonts w:ascii="宋体" w:hAnsi="宋体"/>
      <w:b/>
      <w:color w:val="000000"/>
      <w:kern w:val="2"/>
      <w:sz w:val="24"/>
    </w:rPr>
  </w:style>
  <w:style w:type="paragraph" w:customStyle="1" w:styleId="217">
    <w:name w:val="jl 三级 Char"/>
    <w:basedOn w:val="1"/>
    <w:link w:val="216"/>
    <w:qFormat/>
    <w:uiPriority w:val="0"/>
    <w:pPr>
      <w:autoSpaceDE w:val="0"/>
      <w:autoSpaceDN w:val="0"/>
      <w:adjustRightInd w:val="0"/>
      <w:spacing w:beforeLines="50" w:afterLines="50"/>
      <w:ind w:firstLine="480" w:firstLineChars="200"/>
      <w:jc w:val="left"/>
      <w:textAlignment w:val="baseline"/>
      <w:outlineLvl w:val="2"/>
    </w:pPr>
    <w:rPr>
      <w:rFonts w:ascii="宋体" w:hAnsi="宋体" w:cs="Times New Roman"/>
      <w:b/>
      <w:kern w:val="2"/>
      <w:sz w:val="24"/>
      <w:szCs w:val="20"/>
    </w:rPr>
  </w:style>
  <w:style w:type="paragraph" w:customStyle="1" w:styleId="218">
    <w:name w:val="Char Char Char"/>
    <w:basedOn w:val="1"/>
    <w:qFormat/>
    <w:uiPriority w:val="0"/>
    <w:rPr>
      <w:rFonts w:cs="Times New Roman"/>
      <w:color w:val="auto"/>
      <w:kern w:val="2"/>
      <w:szCs w:val="20"/>
    </w:rPr>
  </w:style>
  <w:style w:type="paragraph" w:customStyle="1" w:styleId="219">
    <w:name w:val="默认段落字体 Para Char Char Char Char Char Char Char Char"/>
    <w:basedOn w:val="1"/>
    <w:qFormat/>
    <w:uiPriority w:val="0"/>
    <w:rPr>
      <w:rFonts w:ascii="Tahoma" w:hAnsi="Tahoma" w:cs="Times New Roman"/>
      <w:color w:val="auto"/>
      <w:kern w:val="2"/>
      <w:sz w:val="24"/>
      <w:szCs w:val="20"/>
    </w:rPr>
  </w:style>
  <w:style w:type="paragraph" w:customStyle="1" w:styleId="220">
    <w:name w:val="Char3"/>
    <w:basedOn w:val="1"/>
    <w:qFormat/>
    <w:uiPriority w:val="0"/>
    <w:pPr>
      <w:spacing w:line="360" w:lineRule="auto"/>
    </w:pPr>
    <w:rPr>
      <w:rFonts w:ascii="Tahoma" w:hAnsi="Tahoma" w:cs="Times New Roman"/>
      <w:color w:val="auto"/>
      <w:kern w:val="2"/>
      <w:sz w:val="24"/>
      <w:szCs w:val="20"/>
    </w:rPr>
  </w:style>
  <w:style w:type="character" w:customStyle="1" w:styleId="221">
    <w:name w:val="HTML 地址 Char"/>
    <w:basedOn w:val="82"/>
    <w:link w:val="38"/>
    <w:qFormat/>
    <w:uiPriority w:val="0"/>
    <w:rPr>
      <w:i/>
      <w:kern w:val="2"/>
      <w:sz w:val="21"/>
    </w:rPr>
  </w:style>
  <w:style w:type="paragraph" w:customStyle="1" w:styleId="222">
    <w:name w:val="二级无标题条"/>
    <w:basedOn w:val="1"/>
    <w:qFormat/>
    <w:uiPriority w:val="0"/>
    <w:pPr>
      <w:numPr>
        <w:ilvl w:val="3"/>
        <w:numId w:val="12"/>
      </w:numPr>
    </w:pPr>
    <w:rPr>
      <w:rFonts w:cs="Times New Roman"/>
      <w:color w:val="auto"/>
      <w:kern w:val="2"/>
      <w:szCs w:val="20"/>
    </w:rPr>
  </w:style>
  <w:style w:type="paragraph" w:customStyle="1" w:styleId="223">
    <w:name w:val="三级无标题条"/>
    <w:basedOn w:val="1"/>
    <w:qFormat/>
    <w:uiPriority w:val="0"/>
    <w:pPr>
      <w:numPr>
        <w:ilvl w:val="4"/>
        <w:numId w:val="12"/>
      </w:numPr>
    </w:pPr>
    <w:rPr>
      <w:rFonts w:cs="Times New Roman"/>
      <w:color w:val="auto"/>
      <w:kern w:val="2"/>
      <w:szCs w:val="20"/>
    </w:rPr>
  </w:style>
  <w:style w:type="paragraph" w:customStyle="1" w:styleId="224">
    <w:name w:val="jl 正文"/>
    <w:basedOn w:val="1"/>
    <w:qFormat/>
    <w:uiPriority w:val="0"/>
    <w:pPr>
      <w:autoSpaceDE w:val="0"/>
      <w:autoSpaceDN w:val="0"/>
      <w:adjustRightInd w:val="0"/>
      <w:ind w:firstLine="200" w:firstLineChars="200"/>
      <w:jc w:val="left"/>
      <w:textAlignment w:val="baseline"/>
    </w:pPr>
    <w:rPr>
      <w:rFonts w:ascii="宋体" w:cs="Times New Roman"/>
      <w:color w:val="auto"/>
      <w:sz w:val="24"/>
      <w:szCs w:val="20"/>
    </w:rPr>
  </w:style>
  <w:style w:type="paragraph" w:customStyle="1" w:styleId="225">
    <w:name w:val="CM3"/>
    <w:basedOn w:val="119"/>
    <w:next w:val="119"/>
    <w:qFormat/>
    <w:uiPriority w:val="0"/>
    <w:pPr>
      <w:spacing w:line="468" w:lineRule="atLeast"/>
    </w:pPr>
    <w:rPr>
      <w:rFonts w:ascii="黑体" w:hAnsi="Times New Roman" w:eastAsia="黑体" w:cs="Times New Roman"/>
      <w:color w:val="auto"/>
      <w:szCs w:val="20"/>
    </w:rPr>
  </w:style>
  <w:style w:type="character" w:customStyle="1" w:styleId="226">
    <w:name w:val="注释标题 Char"/>
    <w:basedOn w:val="82"/>
    <w:link w:val="13"/>
    <w:qFormat/>
    <w:uiPriority w:val="0"/>
    <w:rPr>
      <w:kern w:val="2"/>
      <w:sz w:val="21"/>
    </w:rPr>
  </w:style>
  <w:style w:type="paragraph" w:customStyle="1" w:styleId="2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29">
    <w:name w:val="标准书眉_偶数页"/>
    <w:basedOn w:val="230"/>
    <w:next w:val="1"/>
    <w:qFormat/>
    <w:uiPriority w:val="0"/>
    <w:pPr>
      <w:tabs>
        <w:tab w:val="center" w:pos="4154"/>
        <w:tab w:val="right" w:pos="8306"/>
      </w:tabs>
      <w:jc w:val="left"/>
    </w:pPr>
  </w:style>
  <w:style w:type="paragraph" w:customStyle="1" w:styleId="2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1">
    <w:name w:val="前言首行"/>
    <w:basedOn w:val="1"/>
    <w:qFormat/>
    <w:uiPriority w:val="0"/>
    <w:pPr>
      <w:spacing w:after="120"/>
      <w:jc w:val="center"/>
    </w:pPr>
    <w:rPr>
      <w:rFonts w:eastAsia="黑体" w:cs="Times New Roman"/>
      <w:b/>
      <w:color w:val="auto"/>
      <w:kern w:val="2"/>
      <w:sz w:val="32"/>
      <w:szCs w:val="20"/>
    </w:rPr>
  </w:style>
  <w:style w:type="paragraph" w:customStyle="1" w:styleId="232">
    <w:name w:val="图说"/>
    <w:basedOn w:val="1"/>
    <w:qFormat/>
    <w:uiPriority w:val="0"/>
    <w:pPr>
      <w:topLinePunct/>
      <w:spacing w:before="40" w:after="160"/>
      <w:jc w:val="center"/>
    </w:pPr>
    <w:rPr>
      <w:rFonts w:cs="Times New Roman"/>
      <w:color w:val="auto"/>
      <w:kern w:val="2"/>
      <w:sz w:val="18"/>
      <w:szCs w:val="20"/>
    </w:rPr>
  </w:style>
  <w:style w:type="paragraph" w:customStyle="1" w:styleId="233">
    <w:name w:val="数字编号列项（二级）"/>
    <w:qFormat/>
    <w:uiPriority w:val="0"/>
    <w:pPr>
      <w:jc w:val="both"/>
    </w:pPr>
    <w:rPr>
      <w:rFonts w:ascii="宋体" w:hAnsi="Times New Roman" w:eastAsia="宋体" w:cs="Times New Roman"/>
      <w:sz w:val="21"/>
      <w:lang w:val="en-US" w:eastAsia="zh-CN" w:bidi="ar-SA"/>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cs="Times New Roman"/>
      <w:color w:val="auto"/>
      <w:sz w:val="16"/>
      <w:szCs w:val="20"/>
    </w:rPr>
  </w:style>
  <w:style w:type="paragraph" w:customStyle="1" w:styleId="235">
    <w:name w:val="样式 首行缩进:  0 厘米 行距: 单倍行距"/>
    <w:basedOn w:val="1"/>
    <w:qFormat/>
    <w:uiPriority w:val="0"/>
    <w:pPr>
      <w:adjustRightInd w:val="0"/>
      <w:textAlignment w:val="baseline"/>
    </w:pPr>
    <w:rPr>
      <w:rFonts w:cs="Times New Roman"/>
      <w:color w:val="auto"/>
      <w:szCs w:val="20"/>
    </w:rPr>
  </w:style>
  <w:style w:type="paragraph" w:customStyle="1" w:styleId="236">
    <w:name w:val="CM9"/>
    <w:basedOn w:val="119"/>
    <w:next w:val="119"/>
    <w:qFormat/>
    <w:uiPriority w:val="0"/>
    <w:pPr>
      <w:spacing w:line="468" w:lineRule="atLeast"/>
    </w:pPr>
    <w:rPr>
      <w:rFonts w:ascii="黑体" w:hAnsi="Times New Roman" w:eastAsia="黑体" w:cs="Times New Roman"/>
      <w:color w:val="auto"/>
      <w:szCs w:val="20"/>
    </w:rPr>
  </w:style>
  <w:style w:type="paragraph" w:customStyle="1" w:styleId="237">
    <w:name w:val="节小标题"/>
    <w:basedOn w:val="9"/>
    <w:qFormat/>
    <w:uiPriority w:val="0"/>
    <w:pPr>
      <w:adjustRightInd w:val="0"/>
      <w:snapToGrid w:val="0"/>
      <w:spacing w:before="100" w:after="0" w:line="300" w:lineRule="auto"/>
      <w:ind w:firstLine="359"/>
      <w:outlineLvl w:val="9"/>
    </w:pPr>
    <w:rPr>
      <w:rFonts w:ascii="Times New Roman" w:hAnsi="Times New Roman" w:eastAsia="仿宋_GB2312"/>
      <w:sz w:val="30"/>
    </w:rPr>
  </w:style>
  <w:style w:type="paragraph" w:customStyle="1" w:styleId="238">
    <w:name w:val="CM23"/>
    <w:basedOn w:val="119"/>
    <w:next w:val="119"/>
    <w:qFormat/>
    <w:uiPriority w:val="0"/>
    <w:pPr>
      <w:spacing w:line="468" w:lineRule="atLeast"/>
    </w:pPr>
    <w:rPr>
      <w:rFonts w:ascii="黑体" w:hAnsi="Times New Roman" w:eastAsia="黑体" w:cs="Times New Roman"/>
      <w:color w:val="auto"/>
      <w:szCs w:val="20"/>
    </w:rPr>
  </w:style>
  <w:style w:type="paragraph" w:customStyle="1" w:styleId="239">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240">
    <w:name w:val="样式5"/>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2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2">
    <w:name w:val="附录一级条标题"/>
    <w:basedOn w:val="243"/>
    <w:next w:val="244"/>
    <w:qFormat/>
    <w:uiPriority w:val="0"/>
    <w:pPr>
      <w:numPr>
        <w:ilvl w:val="5"/>
      </w:numPr>
      <w:tabs>
        <w:tab w:val="left" w:pos="360"/>
      </w:tabs>
      <w:autoSpaceDN w:val="0"/>
      <w:spacing w:beforeLines="0" w:afterLines="0"/>
      <w:outlineLvl w:val="2"/>
    </w:pPr>
  </w:style>
  <w:style w:type="paragraph" w:customStyle="1" w:styleId="243">
    <w:name w:val="附录章标题"/>
    <w:next w:val="244"/>
    <w:qFormat/>
    <w:uiPriority w:val="0"/>
    <w:pPr>
      <w:numPr>
        <w:ilvl w:val="4"/>
        <w:numId w:val="1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45">
    <w:name w:val="封面标准代替信息"/>
    <w:basedOn w:val="246"/>
    <w:qFormat/>
    <w:uiPriority w:val="0"/>
    <w:pPr>
      <w:spacing w:before="57"/>
    </w:pPr>
    <w:rPr>
      <w:rFonts w:ascii="宋体"/>
      <w:sz w:val="21"/>
    </w:rPr>
  </w:style>
  <w:style w:type="paragraph" w:customStyle="1" w:styleId="246">
    <w:name w:val="封面标准号2"/>
    <w:basedOn w:val="247"/>
    <w:qFormat/>
    <w:uiPriority w:val="0"/>
    <w:pPr>
      <w:adjustRightInd w:val="0"/>
      <w:spacing w:before="357" w:line="280" w:lineRule="exact"/>
    </w:pPr>
  </w:style>
  <w:style w:type="paragraph" w:customStyle="1" w:styleId="2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49">
    <w:name w:val="附录二级条标题"/>
    <w:basedOn w:val="242"/>
    <w:next w:val="244"/>
    <w:qFormat/>
    <w:uiPriority w:val="0"/>
    <w:pPr>
      <w:numPr>
        <w:ilvl w:val="0"/>
        <w:numId w:val="0"/>
      </w:numPr>
      <w:tabs>
        <w:tab w:val="left" w:pos="2040"/>
        <w:tab w:val="clear" w:pos="360"/>
      </w:tabs>
      <w:ind w:left="2040" w:hanging="360"/>
      <w:outlineLvl w:val="3"/>
    </w:pPr>
  </w:style>
  <w:style w:type="paragraph" w:customStyle="1" w:styleId="250">
    <w:name w:val="正文表标题"/>
    <w:next w:val="244"/>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252">
    <w:name w:val="附录五级条标题"/>
    <w:basedOn w:val="253"/>
    <w:next w:val="244"/>
    <w:qFormat/>
    <w:uiPriority w:val="0"/>
    <w:pPr>
      <w:tabs>
        <w:tab w:val="left" w:pos="360"/>
        <w:tab w:val="left" w:pos="2040"/>
      </w:tabs>
      <w:outlineLvl w:val="6"/>
    </w:pPr>
  </w:style>
  <w:style w:type="paragraph" w:customStyle="1" w:styleId="253">
    <w:name w:val="附录四级条标题"/>
    <w:basedOn w:val="254"/>
    <w:next w:val="244"/>
    <w:qFormat/>
    <w:uiPriority w:val="0"/>
    <w:pPr>
      <w:numPr>
        <w:ilvl w:val="0"/>
        <w:numId w:val="0"/>
      </w:numPr>
      <w:tabs>
        <w:tab w:val="left" w:pos="360"/>
        <w:tab w:val="left" w:pos="2040"/>
      </w:tabs>
      <w:ind w:left="2040" w:hanging="360"/>
      <w:outlineLvl w:val="5"/>
    </w:pPr>
  </w:style>
  <w:style w:type="paragraph" w:customStyle="1" w:styleId="254">
    <w:name w:val="附录三级条标题"/>
    <w:basedOn w:val="1"/>
    <w:next w:val="244"/>
    <w:qFormat/>
    <w:uiPriority w:val="0"/>
    <w:pPr>
      <w:widowControl/>
      <w:numPr>
        <w:ilvl w:val="6"/>
        <w:numId w:val="14"/>
      </w:numPr>
      <w:tabs>
        <w:tab w:val="left" w:pos="360"/>
      </w:tabs>
      <w:wordWrap w:val="0"/>
      <w:overflowPunct w:val="0"/>
      <w:autoSpaceDE w:val="0"/>
      <w:autoSpaceDN w:val="0"/>
      <w:textAlignment w:val="baseline"/>
      <w:outlineLvl w:val="4"/>
    </w:pPr>
    <w:rPr>
      <w:rFonts w:ascii="黑体" w:eastAsia="黑体" w:cs="Times New Roman"/>
      <w:color w:val="auto"/>
      <w:kern w:val="21"/>
      <w:szCs w:val="20"/>
    </w:rPr>
  </w:style>
  <w:style w:type="paragraph" w:customStyle="1" w:styleId="255">
    <w:name w:val="章标题"/>
    <w:next w:val="244"/>
    <w:qFormat/>
    <w:uiPriority w:val="0"/>
    <w:pPr>
      <w:numPr>
        <w:ilvl w:val="1"/>
        <w:numId w:val="15"/>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256">
    <w:name w:val="附录标识"/>
    <w:basedOn w:val="257"/>
    <w:qFormat/>
    <w:uiPriority w:val="0"/>
    <w:pPr>
      <w:numPr>
        <w:ilvl w:val="2"/>
        <w:numId w:val="14"/>
      </w:numPr>
      <w:tabs>
        <w:tab w:val="left" w:pos="360"/>
        <w:tab w:val="left" w:pos="6405"/>
      </w:tabs>
      <w:spacing w:after="200"/>
    </w:pPr>
    <w:rPr>
      <w:sz w:val="21"/>
    </w:rPr>
  </w:style>
  <w:style w:type="paragraph" w:customStyle="1" w:styleId="257">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258">
    <w:name w:val="Char Char1 Char"/>
    <w:basedOn w:val="1"/>
    <w:qFormat/>
    <w:uiPriority w:val="0"/>
    <w:pPr>
      <w:widowControl/>
      <w:numPr>
        <w:ilvl w:val="0"/>
        <w:numId w:val="16"/>
      </w:numPr>
      <w:spacing w:before="100" w:beforeAutospacing="1" w:after="100" w:afterAutospacing="1" w:line="330" w:lineRule="atLeast"/>
      <w:ind w:left="360"/>
      <w:jc w:val="left"/>
    </w:pPr>
    <w:rPr>
      <w:rFonts w:ascii="ˎ̥" w:hAnsi="ˎ̥" w:cs="Times New Roman"/>
      <w:color w:val="51585D"/>
      <w:sz w:val="24"/>
      <w:szCs w:val="20"/>
    </w:rPr>
  </w:style>
  <w:style w:type="paragraph" w:customStyle="1" w:styleId="259">
    <w:name w:val="Char"/>
    <w:basedOn w:val="1"/>
    <w:qFormat/>
    <w:uiPriority w:val="0"/>
    <w:rPr>
      <w:rFonts w:cs="Times New Roman"/>
      <w:color w:val="auto"/>
      <w:kern w:val="2"/>
      <w:szCs w:val="20"/>
    </w:rPr>
  </w:style>
  <w:style w:type="paragraph" w:customStyle="1" w:styleId="260">
    <w:name w:val="1"/>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paragraph" w:customStyle="1" w:styleId="261">
    <w:name w:val="Char Char Char1 Char Char Char Char Char Char Char"/>
    <w:basedOn w:val="1"/>
    <w:qFormat/>
    <w:uiPriority w:val="0"/>
    <w:rPr>
      <w:rFonts w:cs="Times New Roman"/>
      <w:color w:val="auto"/>
      <w:kern w:val="2"/>
      <w:szCs w:val="20"/>
    </w:rPr>
  </w:style>
  <w:style w:type="paragraph" w:customStyle="1" w:styleId="262">
    <w:name w:val="图表脚注"/>
    <w:next w:val="244"/>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63">
    <w:name w:val="正文文本 3 Char"/>
    <w:basedOn w:val="82"/>
    <w:link w:val="27"/>
    <w:qFormat/>
    <w:uiPriority w:val="0"/>
    <w:rPr>
      <w:kern w:val="2"/>
      <w:sz w:val="16"/>
    </w:rPr>
  </w:style>
  <w:style w:type="paragraph" w:customStyle="1" w:styleId="2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5">
    <w:name w:val="目次、标准名称标题"/>
    <w:basedOn w:val="1"/>
    <w:next w:val="244"/>
    <w:qFormat/>
    <w:uiPriority w:val="0"/>
    <w:pPr>
      <w:widowControl/>
      <w:shd w:val="clear" w:color="FFFFFF" w:fill="FFFFFF"/>
      <w:tabs>
        <w:tab w:val="left" w:pos="1140"/>
      </w:tabs>
      <w:spacing w:before="640" w:after="560" w:line="460" w:lineRule="exact"/>
      <w:jc w:val="center"/>
      <w:outlineLvl w:val="0"/>
    </w:pPr>
    <w:rPr>
      <w:rFonts w:ascii="黑体" w:eastAsia="黑体" w:cs="Times New Roman"/>
      <w:color w:val="auto"/>
      <w:sz w:val="32"/>
      <w:szCs w:val="20"/>
    </w:rPr>
  </w:style>
  <w:style w:type="paragraph" w:customStyle="1" w:styleId="266">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cs="Times New Roman"/>
      <w:color w:val="auto"/>
      <w:szCs w:val="20"/>
    </w:rPr>
  </w:style>
  <w:style w:type="paragraph" w:customStyle="1" w:styleId="267">
    <w:name w:val="font5"/>
    <w:basedOn w:val="1"/>
    <w:qFormat/>
    <w:uiPriority w:val="0"/>
    <w:pPr>
      <w:widowControl/>
      <w:spacing w:before="100" w:beforeAutospacing="1" w:after="100" w:afterAutospacing="1"/>
      <w:jc w:val="left"/>
    </w:pPr>
    <w:rPr>
      <w:rFonts w:hint="eastAsia" w:ascii="宋体" w:hAnsi="宋体" w:cs="Times New Roman"/>
      <w:color w:val="auto"/>
      <w:sz w:val="18"/>
      <w:szCs w:val="20"/>
    </w:rPr>
  </w:style>
  <w:style w:type="paragraph" w:customStyle="1" w:styleId="26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69">
    <w:name w:val="条文脚注"/>
    <w:basedOn w:val="60"/>
    <w:qFormat/>
    <w:uiPriority w:val="0"/>
    <w:pPr>
      <w:ind w:left="780" w:leftChars="200" w:hanging="360" w:hangingChars="200"/>
      <w:jc w:val="both"/>
    </w:pPr>
    <w:rPr>
      <w:rFonts w:ascii="宋体"/>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paragraph" w:customStyle="1" w:styleId="27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7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74">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character" w:customStyle="1" w:styleId="275">
    <w:name w:val="称呼 Char"/>
    <w:basedOn w:val="82"/>
    <w:link w:val="26"/>
    <w:qFormat/>
    <w:uiPriority w:val="0"/>
    <w:rPr>
      <w:kern w:val="2"/>
      <w:sz w:val="21"/>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color w:val="auto"/>
      <w:sz w:val="20"/>
      <w:szCs w:val="20"/>
    </w:rPr>
  </w:style>
  <w:style w:type="paragraph" w:customStyle="1" w:styleId="277">
    <w:name w:val="表文"/>
    <w:basedOn w:val="1"/>
    <w:qFormat/>
    <w:uiPriority w:val="0"/>
    <w:pPr>
      <w:topLinePunct/>
      <w:spacing w:before="40" w:after="40"/>
    </w:pPr>
    <w:rPr>
      <w:rFonts w:cs="Times New Roman"/>
      <w:color w:val="auto"/>
      <w:kern w:val="2"/>
      <w:sz w:val="18"/>
      <w:szCs w:val="20"/>
    </w:rPr>
  </w:style>
  <w:style w:type="paragraph" w:customStyle="1" w:styleId="2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79">
    <w:name w:val="字元 Char Char Char Char Char Char"/>
    <w:basedOn w:val="1"/>
    <w:qFormat/>
    <w:uiPriority w:val="0"/>
    <w:rPr>
      <w:rFonts w:ascii="Tahoma" w:hAnsi="Tahoma" w:cs="Times New Roman"/>
      <w:color w:val="auto"/>
      <w:kern w:val="2"/>
      <w:sz w:val="24"/>
      <w:szCs w:val="20"/>
    </w:rPr>
  </w:style>
  <w:style w:type="paragraph" w:customStyle="1" w:styleId="280">
    <w:name w:val="参考文献、索引标题"/>
    <w:basedOn w:val="1"/>
    <w:next w:val="1"/>
    <w:qFormat/>
    <w:uiPriority w:val="0"/>
    <w:pPr>
      <w:widowControl/>
      <w:shd w:val="clear" w:color="FFFFFF" w:fill="FFFFFF"/>
      <w:spacing w:before="640" w:after="200"/>
      <w:jc w:val="center"/>
      <w:outlineLvl w:val="0"/>
    </w:pPr>
    <w:rPr>
      <w:rFonts w:ascii="黑体" w:eastAsia="黑体" w:cs="Times New Roman"/>
      <w:color w:val="auto"/>
      <w:szCs w:val="20"/>
    </w:rPr>
  </w:style>
  <w:style w:type="paragraph" w:customStyle="1" w:styleId="281">
    <w:name w:val="附录"/>
    <w:basedOn w:val="2"/>
    <w:qFormat/>
    <w:uiPriority w:val="0"/>
    <w:pPr>
      <w:topLinePunct/>
      <w:spacing w:before="0" w:after="0" w:line="960" w:lineRule="auto"/>
      <w:ind w:firstLine="420"/>
      <w:textAlignment w:val="baseline"/>
    </w:pPr>
    <w:rPr>
      <w:rFonts w:ascii="Times New Roman" w:hAnsi="Times New Roman" w:eastAsia="黑体"/>
      <w:b w:val="0"/>
      <w:color w:val="auto"/>
      <w:kern w:val="2"/>
      <w:sz w:val="28"/>
      <w:szCs w:val="20"/>
    </w:rPr>
  </w:style>
  <w:style w:type="paragraph" w:customStyle="1" w:styleId="282">
    <w:name w:val="CM5"/>
    <w:basedOn w:val="119"/>
    <w:next w:val="119"/>
    <w:qFormat/>
    <w:uiPriority w:val="0"/>
    <w:pPr>
      <w:spacing w:line="471" w:lineRule="atLeast"/>
    </w:pPr>
    <w:rPr>
      <w:rFonts w:ascii="黑体" w:hAnsi="Times New Roman" w:eastAsia="黑体" w:cs="Times New Roman"/>
      <w:color w:val="auto"/>
      <w:szCs w:val="20"/>
    </w:rPr>
  </w:style>
  <w:style w:type="paragraph" w:customStyle="1" w:styleId="283">
    <w:name w:val="封面正文"/>
    <w:qFormat/>
    <w:uiPriority w:val="0"/>
    <w:pPr>
      <w:numPr>
        <w:ilvl w:val="1"/>
        <w:numId w:val="14"/>
      </w:numPr>
      <w:jc w:val="both"/>
    </w:pPr>
    <w:rPr>
      <w:rFonts w:ascii="Times New Roman" w:hAnsi="Times New Roman" w:eastAsia="宋体" w:cs="Times New Roman"/>
      <w:lang w:val="en-US" w:eastAsia="zh-CN" w:bidi="ar-SA"/>
    </w:rPr>
  </w:style>
  <w:style w:type="character" w:customStyle="1" w:styleId="284">
    <w:name w:val="正文文本 2 Char"/>
    <w:basedOn w:val="82"/>
    <w:link w:val="67"/>
    <w:qFormat/>
    <w:uiPriority w:val="0"/>
    <w:rPr>
      <w:kern w:val="2"/>
      <w:sz w:val="21"/>
    </w:rPr>
  </w:style>
  <w:style w:type="paragraph" w:customStyle="1" w:styleId="285">
    <w:name w:val="正文2"/>
    <w:basedOn w:val="149"/>
    <w:qFormat/>
    <w:uiPriority w:val="0"/>
    <w:pPr>
      <w:tabs>
        <w:tab w:val="left" w:pos="2160"/>
      </w:tabs>
      <w:autoSpaceDE/>
      <w:autoSpaceDN/>
      <w:adjustRightInd w:val="0"/>
      <w:spacing w:line="490" w:lineRule="exact"/>
      <w:jc w:val="center"/>
      <w:textAlignment w:val="baseline"/>
    </w:pPr>
    <w:rPr>
      <w:rFonts w:ascii="仿宋_GB2312" w:hAnsi="Times New Roman" w:eastAsia="仿宋_GB2312" w:cs="Times New Roman"/>
      <w:sz w:val="34"/>
      <w:szCs w:val="20"/>
      <w:lang w:val="en-US" w:bidi="ar-SA"/>
    </w:rPr>
  </w:style>
  <w:style w:type="paragraph" w:customStyle="1" w:styleId="28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7">
    <w:name w:val="日期 Char"/>
    <w:basedOn w:val="82"/>
    <w:link w:val="45"/>
    <w:qFormat/>
    <w:uiPriority w:val="0"/>
    <w:rPr>
      <w:kern w:val="2"/>
      <w:sz w:val="21"/>
    </w:rPr>
  </w:style>
  <w:style w:type="paragraph" w:customStyle="1" w:styleId="288">
    <w:name w:val="修订1"/>
    <w:qFormat/>
    <w:uiPriority w:val="0"/>
    <w:rPr>
      <w:rFonts w:ascii="Times New Roman" w:hAnsi="Times New Roman" w:eastAsia="宋体" w:cs="Times New Roman"/>
      <w:kern w:val="2"/>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四级条标题"/>
    <w:basedOn w:val="291"/>
    <w:next w:val="244"/>
    <w:qFormat/>
    <w:uiPriority w:val="0"/>
    <w:pPr>
      <w:tabs>
        <w:tab w:val="left" w:pos="945"/>
        <w:tab w:val="left" w:pos="1021"/>
        <w:tab w:val="left" w:pos="1080"/>
        <w:tab w:val="left" w:pos="1155"/>
      </w:tabs>
      <w:outlineLvl w:val="5"/>
    </w:pPr>
  </w:style>
  <w:style w:type="paragraph" w:customStyle="1" w:styleId="291">
    <w:name w:val="三级条标题"/>
    <w:basedOn w:val="192"/>
    <w:next w:val="244"/>
    <w:qFormat/>
    <w:uiPriority w:val="0"/>
    <w:pPr>
      <w:tabs>
        <w:tab w:val="left" w:pos="945"/>
        <w:tab w:val="left" w:pos="1080"/>
      </w:tabs>
      <w:outlineLvl w:val="4"/>
    </w:p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character" w:customStyle="1" w:styleId="293">
    <w:name w:val="正文文本缩进 3 Char"/>
    <w:basedOn w:val="82"/>
    <w:link w:val="62"/>
    <w:qFormat/>
    <w:uiPriority w:val="0"/>
    <w:rPr>
      <w:kern w:val="2"/>
      <w:sz w:val="16"/>
    </w:rPr>
  </w:style>
  <w:style w:type="paragraph" w:customStyle="1" w:styleId="294">
    <w:name w:val="样式 标题 2 + 段前: 0.5 行 段后: 0.5 行"/>
    <w:basedOn w:val="3"/>
    <w:qFormat/>
    <w:uiPriority w:val="0"/>
    <w:pPr>
      <w:adjustRightInd w:val="0"/>
      <w:spacing w:beforeLines="50" w:afterLines="50"/>
      <w:ind w:firstLine="200" w:firstLineChars="200"/>
      <w:jc w:val="left"/>
      <w:textAlignment w:val="baseline"/>
    </w:pPr>
    <w:rPr>
      <w:rFonts w:ascii="Times New Roman" w:hAnsi="Times New Roman" w:eastAsia="黑体"/>
      <w:color w:val="auto"/>
      <w:sz w:val="21"/>
      <w:szCs w:val="20"/>
    </w:rPr>
  </w:style>
  <w:style w:type="paragraph" w:customStyle="1" w:styleId="295">
    <w:name w:val="font7"/>
    <w:basedOn w:val="1"/>
    <w:qFormat/>
    <w:uiPriority w:val="0"/>
    <w:pPr>
      <w:widowControl/>
      <w:spacing w:before="100" w:beforeAutospacing="1" w:after="100" w:afterAutospacing="1"/>
      <w:jc w:val="left"/>
    </w:pPr>
    <w:rPr>
      <w:rFonts w:cs="Times New Roman"/>
      <w:sz w:val="20"/>
      <w:szCs w:val="20"/>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29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99">
    <w:name w:val="CM33"/>
    <w:basedOn w:val="119"/>
    <w:next w:val="119"/>
    <w:qFormat/>
    <w:uiPriority w:val="0"/>
    <w:pPr>
      <w:spacing w:after="205"/>
    </w:pPr>
    <w:rPr>
      <w:rFonts w:ascii="黑体" w:hAnsi="Times New Roman" w:eastAsia="黑体" w:cs="Times New Roman"/>
      <w:color w:val="auto"/>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301">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02">
    <w:name w:val="封面标准英文名称"/>
    <w:qFormat/>
    <w:uiPriority w:val="0"/>
    <w:pPr>
      <w:widowControl w:val="0"/>
      <w:numPr>
        <w:ilvl w:val="0"/>
        <w:numId w:val="14"/>
      </w:numPr>
      <w:spacing w:before="370" w:line="400" w:lineRule="exact"/>
      <w:jc w:val="center"/>
    </w:pPr>
    <w:rPr>
      <w:rFonts w:ascii="Times New Roman" w:hAnsi="Times New Roman" w:eastAsia="宋体" w:cs="Times New Roman"/>
      <w:sz w:val="28"/>
      <w:lang w:val="en-US" w:eastAsia="zh-CN" w:bidi="ar-SA"/>
    </w:rPr>
  </w:style>
  <w:style w:type="paragraph" w:customStyle="1" w:styleId="303">
    <w:name w:val="标题 3 + 小四 段前: 0 磅 段后: 0 磅 行距: 1.5 倍行距"/>
    <w:basedOn w:val="4"/>
    <w:next w:val="4"/>
    <w:qFormat/>
    <w:uiPriority w:val="0"/>
    <w:pPr>
      <w:numPr>
        <w:ilvl w:val="2"/>
        <w:numId w:val="1"/>
      </w:numPr>
      <w:tabs>
        <w:tab w:val="left" w:pos="2126"/>
      </w:tabs>
      <w:spacing w:before="0" w:after="0" w:line="360" w:lineRule="auto"/>
      <w:jc w:val="center"/>
    </w:pPr>
    <w:rPr>
      <w:rFonts w:eastAsia="黑体" w:cs="Times New Roman"/>
      <w:b w:val="0"/>
      <w:color w:val="auto"/>
      <w:kern w:val="2"/>
      <w:sz w:val="24"/>
      <w:szCs w:val="20"/>
    </w:rPr>
  </w:style>
  <w:style w:type="paragraph" w:customStyle="1" w:styleId="3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5">
    <w:name w:val="发布日期"/>
    <w:qFormat/>
    <w:uiPriority w:val="0"/>
    <w:rPr>
      <w:rFonts w:ascii="Times New Roman" w:hAnsi="Times New Roman" w:eastAsia="黑体" w:cs="Times New Roman"/>
      <w:sz w:val="28"/>
      <w:lang w:val="en-US" w:eastAsia="zh-CN" w:bidi="ar-SA"/>
    </w:rPr>
  </w:style>
  <w:style w:type="paragraph" w:customStyle="1" w:styleId="306">
    <w:name w:val="五级条标题"/>
    <w:basedOn w:val="290"/>
    <w:next w:val="244"/>
    <w:qFormat/>
    <w:uiPriority w:val="0"/>
    <w:pPr>
      <w:tabs>
        <w:tab w:val="left" w:pos="1407"/>
        <w:tab w:val="left" w:pos="1440"/>
        <w:tab w:val="clear" w:pos="1021"/>
        <w:tab w:val="clear" w:pos="1155"/>
      </w:tabs>
      <w:outlineLvl w:val="6"/>
    </w:pPr>
  </w:style>
  <w:style w:type="paragraph" w:customStyle="1" w:styleId="307">
    <w:name w:val="Char Char Char1"/>
    <w:basedOn w:val="1"/>
    <w:qFormat/>
    <w:uiPriority w:val="0"/>
    <w:rPr>
      <w:rFonts w:cs="Times New Roman"/>
      <w:color w:val="auto"/>
      <w:kern w:val="2"/>
      <w:szCs w:val="20"/>
    </w:rPr>
  </w:style>
  <w:style w:type="paragraph" w:customStyle="1" w:styleId="308">
    <w:name w:val="样式 标题 5 + 右侧:  1 字符"/>
    <w:basedOn w:val="6"/>
    <w:qFormat/>
    <w:uiPriority w:val="0"/>
    <w:pPr>
      <w:numPr>
        <w:numId w:val="0"/>
      </w:numPr>
      <w:adjustRightInd w:val="0"/>
      <w:ind w:right="100" w:rightChars="100"/>
      <w:textAlignment w:val="baseline"/>
    </w:pPr>
    <w:rPr>
      <w:rFonts w:eastAsia="宋体"/>
      <w:kern w:val="0"/>
    </w:rPr>
  </w:style>
  <w:style w:type="paragraph" w:customStyle="1" w:styleId="309">
    <w:name w:val="正文图标题"/>
    <w:next w:val="244"/>
    <w:qFormat/>
    <w:uiPriority w:val="0"/>
    <w:pPr>
      <w:tabs>
        <w:tab w:val="left" w:pos="360"/>
      </w:tabs>
      <w:jc w:val="center"/>
    </w:pPr>
    <w:rPr>
      <w:rFonts w:ascii="黑体" w:hAnsi="Times New Roman" w:eastAsia="黑体" w:cs="Times New Roman"/>
      <w:sz w:val="21"/>
      <w:lang w:val="en-US" w:eastAsia="zh-CN" w:bidi="ar-SA"/>
    </w:rPr>
  </w:style>
  <w:style w:type="paragraph" w:customStyle="1" w:styleId="310">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11">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12">
    <w:name w:val="样式4"/>
    <w:basedOn w:val="5"/>
    <w:qFormat/>
    <w:uiPriority w:val="0"/>
    <w:pPr>
      <w:numPr>
        <w:ilvl w:val="3"/>
        <w:numId w:val="1"/>
      </w:numPr>
      <w:tabs>
        <w:tab w:val="left" w:pos="2976"/>
      </w:tabs>
      <w:topLinePunct/>
      <w:spacing w:before="0" w:after="0" w:line="480" w:lineRule="auto"/>
      <w:ind w:firstLine="420"/>
    </w:pPr>
    <w:rPr>
      <w:rFonts w:ascii="Times New Roman" w:hAnsi="Times New Roman" w:eastAsia="楷体_GB2312" w:cs="Times New Roman"/>
      <w:b w:val="0"/>
      <w:color w:val="auto"/>
      <w:kern w:val="2"/>
      <w:sz w:val="24"/>
      <w:szCs w:val="20"/>
    </w:rPr>
  </w:style>
  <w:style w:type="paragraph" w:customStyle="1" w:styleId="31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14">
    <w:name w:val="xl50"/>
    <w:basedOn w:val="1"/>
    <w:qFormat/>
    <w:uiPriority w:val="0"/>
    <w:pPr>
      <w:widowControl/>
      <w:spacing w:before="100" w:beforeAutospacing="1" w:after="100" w:afterAutospacing="1"/>
      <w:jc w:val="center"/>
    </w:pPr>
    <w:rPr>
      <w:rFonts w:ascii="宋体" w:hAnsi="宋体" w:cs="Times New Roman"/>
      <w:color w:val="auto"/>
      <w:sz w:val="24"/>
      <w:szCs w:val="20"/>
    </w:rPr>
  </w:style>
  <w:style w:type="paragraph" w:customStyle="1" w:styleId="315">
    <w:name w:val="CM10"/>
    <w:basedOn w:val="119"/>
    <w:next w:val="119"/>
    <w:qFormat/>
    <w:uiPriority w:val="0"/>
    <w:pPr>
      <w:spacing w:line="468" w:lineRule="atLeast"/>
    </w:pPr>
    <w:rPr>
      <w:rFonts w:ascii="黑体" w:hAnsi="Times New Roman" w:eastAsia="黑体" w:cs="Times New Roman"/>
      <w:color w:val="auto"/>
      <w:szCs w:val="20"/>
    </w:rPr>
  </w:style>
  <w:style w:type="paragraph" w:customStyle="1" w:styleId="316">
    <w:name w:val="默认段落字体 Para Char Char Char Char"/>
    <w:basedOn w:val="1"/>
    <w:qFormat/>
    <w:uiPriority w:val="0"/>
    <w:rPr>
      <w:rFonts w:ascii="宋体" w:hAnsi="宋体" w:cs="Times New Roman"/>
      <w:b/>
      <w:kern w:val="2"/>
      <w:sz w:val="24"/>
      <w:szCs w:val="20"/>
    </w:rPr>
  </w:style>
  <w:style w:type="character" w:customStyle="1" w:styleId="317">
    <w:name w:val="信息标题 Char"/>
    <w:basedOn w:val="82"/>
    <w:link w:val="70"/>
    <w:qFormat/>
    <w:uiPriority w:val="0"/>
    <w:rPr>
      <w:rFonts w:ascii="Arial" w:hAnsi="Arial"/>
      <w:kern w:val="2"/>
      <w:sz w:val="24"/>
      <w:shd w:val="pct20" w:color="auto" w:fill="auto"/>
    </w:rPr>
  </w:style>
  <w:style w:type="paragraph" w:customStyle="1" w:styleId="31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19">
    <w:name w:val="Char1 Char Char Char Char Char Char"/>
    <w:basedOn w:val="1"/>
    <w:qFormat/>
    <w:uiPriority w:val="0"/>
    <w:rPr>
      <w:rFonts w:ascii="Tahoma" w:hAnsi="Tahoma" w:cs="Times New Roman"/>
      <w:color w:val="auto"/>
      <w:kern w:val="2"/>
      <w:sz w:val="24"/>
      <w:szCs w:val="20"/>
    </w:rPr>
  </w:style>
  <w:style w:type="paragraph" w:customStyle="1" w:styleId="320">
    <w:name w:val="附录图标题"/>
    <w:next w:val="244"/>
    <w:qFormat/>
    <w:uiPriority w:val="0"/>
    <w:pPr>
      <w:jc w:val="center"/>
    </w:pPr>
    <w:rPr>
      <w:rFonts w:ascii="黑体" w:hAnsi="Times New Roman" w:eastAsia="黑体" w:cs="Times New Roman"/>
      <w:sz w:val="21"/>
      <w:lang w:val="en-US" w:eastAsia="zh-CN" w:bidi="ar-SA"/>
    </w:rPr>
  </w:style>
  <w:style w:type="paragraph" w:customStyle="1" w:styleId="321">
    <w:name w:val="样式 标题 2 + 宋体 加粗"/>
    <w:basedOn w:val="3"/>
    <w:qFormat/>
    <w:uiPriority w:val="0"/>
    <w:pPr>
      <w:spacing w:before="0" w:after="0" w:line="600" w:lineRule="exact"/>
      <w:jc w:val="both"/>
    </w:pPr>
    <w:rPr>
      <w:rFonts w:ascii="宋体" w:hAnsi="宋体"/>
      <w:b/>
      <w:color w:val="auto"/>
      <w:kern w:val="2"/>
      <w:sz w:val="32"/>
      <w:szCs w:val="20"/>
    </w:rPr>
  </w:style>
  <w:style w:type="paragraph" w:customStyle="1" w:styleId="322">
    <w:name w:val="Char1"/>
    <w:basedOn w:val="1"/>
    <w:qFormat/>
    <w:uiPriority w:val="0"/>
    <w:rPr>
      <w:rFonts w:cs="Times New Roman"/>
      <w:color w:val="auto"/>
      <w:kern w:val="2"/>
      <w:szCs w:val="20"/>
    </w:rPr>
  </w:style>
  <w:style w:type="character" w:customStyle="1" w:styleId="323">
    <w:name w:val="结束语 Char"/>
    <w:basedOn w:val="82"/>
    <w:link w:val="28"/>
    <w:qFormat/>
    <w:uiPriority w:val="0"/>
    <w:rPr>
      <w:kern w:val="2"/>
      <w:sz w:val="21"/>
    </w:rPr>
  </w:style>
  <w:style w:type="paragraph" w:customStyle="1" w:styleId="324">
    <w:name w:val="Char31"/>
    <w:basedOn w:val="1"/>
    <w:qFormat/>
    <w:uiPriority w:val="0"/>
    <w:rPr>
      <w:rFonts w:cs="Times New Roman"/>
      <w:color w:val="auto"/>
      <w:kern w:val="2"/>
      <w:szCs w:val="20"/>
    </w:rPr>
  </w:style>
  <w:style w:type="paragraph" w:customStyle="1" w:styleId="3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26">
    <w:name w:val="样式 标题 2 + 黑体 段前: 10.25 磅 段后: 10.25 磅 行距: 单倍行距"/>
    <w:basedOn w:val="3"/>
    <w:qFormat/>
    <w:uiPriority w:val="0"/>
    <w:pPr>
      <w:tabs>
        <w:tab w:val="left" w:pos="1276"/>
      </w:tabs>
      <w:adjustRightInd w:val="0"/>
      <w:spacing w:beforeLines="50" w:afterLines="50"/>
      <w:ind w:left="851"/>
      <w:jc w:val="left"/>
      <w:textAlignment w:val="baseline"/>
    </w:pPr>
    <w:rPr>
      <w:rFonts w:ascii="黑体" w:hAnsi="黑体" w:eastAsia="黑体"/>
      <w:b/>
      <w:color w:val="auto"/>
      <w:sz w:val="24"/>
      <w:szCs w:val="20"/>
    </w:rPr>
  </w:style>
  <w:style w:type="paragraph" w:customStyle="1" w:styleId="3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character" w:customStyle="1" w:styleId="328">
    <w:name w:val="电子邮件签名 Char"/>
    <w:basedOn w:val="82"/>
    <w:link w:val="16"/>
    <w:qFormat/>
    <w:uiPriority w:val="0"/>
    <w:rPr>
      <w:kern w:val="2"/>
      <w:sz w:val="21"/>
    </w:rPr>
  </w:style>
  <w:style w:type="paragraph" w:customStyle="1" w:styleId="3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sz w:val="20"/>
      <w:szCs w:val="20"/>
    </w:rPr>
  </w:style>
  <w:style w:type="paragraph" w:customStyle="1" w:styleId="330">
    <w:name w:val="p82"/>
    <w:basedOn w:val="1"/>
    <w:qFormat/>
    <w:uiPriority w:val="0"/>
    <w:pPr>
      <w:widowControl/>
      <w:tabs>
        <w:tab w:val="left" w:pos="460"/>
      </w:tabs>
      <w:overflowPunct w:val="0"/>
      <w:autoSpaceDE w:val="0"/>
      <w:autoSpaceDN w:val="0"/>
      <w:adjustRightInd w:val="0"/>
      <w:spacing w:line="320" w:lineRule="atLeast"/>
      <w:textAlignment w:val="baseline"/>
    </w:pPr>
    <w:rPr>
      <w:rFonts w:cs="Times New Roman"/>
      <w:color w:val="auto"/>
      <w:sz w:val="24"/>
      <w:szCs w:val="20"/>
      <w:lang w:val="en-GB"/>
    </w:rPr>
  </w:style>
  <w:style w:type="paragraph" w:customStyle="1" w:styleId="3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3">
    <w:name w:val="font6"/>
    <w:basedOn w:val="1"/>
    <w:qFormat/>
    <w:uiPriority w:val="0"/>
    <w:pPr>
      <w:widowControl/>
      <w:spacing w:before="100" w:beforeAutospacing="1" w:after="100" w:afterAutospacing="1"/>
      <w:jc w:val="left"/>
    </w:pPr>
    <w:rPr>
      <w:rFonts w:hint="eastAsia" w:ascii="宋体" w:hAnsi="宋体" w:cs="Times New Roman"/>
      <w:sz w:val="20"/>
      <w:szCs w:val="20"/>
    </w:rPr>
  </w:style>
  <w:style w:type="paragraph" w:customStyle="1" w:styleId="334">
    <w:name w:val="CM22"/>
    <w:basedOn w:val="119"/>
    <w:next w:val="119"/>
    <w:qFormat/>
    <w:uiPriority w:val="0"/>
    <w:pPr>
      <w:spacing w:line="468" w:lineRule="atLeast"/>
    </w:pPr>
    <w:rPr>
      <w:rFonts w:ascii="黑体" w:hAnsi="Times New Roman" w:eastAsia="黑体" w:cs="Times New Roman"/>
      <w:color w:val="auto"/>
      <w:szCs w:val="20"/>
    </w:rPr>
  </w:style>
  <w:style w:type="paragraph" w:customStyle="1" w:styleId="335">
    <w:name w:val="font0"/>
    <w:basedOn w:val="1"/>
    <w:qFormat/>
    <w:uiPriority w:val="0"/>
    <w:pPr>
      <w:widowControl/>
      <w:spacing w:before="100" w:beforeAutospacing="1" w:after="100" w:afterAutospacing="1"/>
      <w:jc w:val="left"/>
    </w:pPr>
    <w:rPr>
      <w:rFonts w:hint="eastAsia" w:ascii="宋体" w:cs="Times New Roman"/>
      <w:color w:val="auto"/>
      <w:sz w:val="24"/>
      <w:szCs w:val="20"/>
    </w:rPr>
  </w:style>
  <w:style w:type="character" w:customStyle="1" w:styleId="336">
    <w:name w:val="签名 Char"/>
    <w:basedOn w:val="82"/>
    <w:link w:val="52"/>
    <w:qFormat/>
    <w:uiPriority w:val="0"/>
    <w:rPr>
      <w:kern w:val="2"/>
      <w:sz w:val="21"/>
    </w:rPr>
  </w:style>
  <w:style w:type="paragraph" w:customStyle="1" w:styleId="337">
    <w:name w:val="样式3"/>
    <w:basedOn w:val="4"/>
    <w:qFormat/>
    <w:uiPriority w:val="0"/>
    <w:pPr>
      <w:numPr>
        <w:ilvl w:val="2"/>
        <w:numId w:val="1"/>
      </w:numPr>
      <w:tabs>
        <w:tab w:val="left" w:pos="709"/>
      </w:tabs>
      <w:topLinePunct/>
      <w:spacing w:before="0" w:after="0" w:line="720" w:lineRule="auto"/>
      <w:jc w:val="left"/>
    </w:pPr>
    <w:rPr>
      <w:rFonts w:ascii="Arial" w:hAnsi="Arial" w:eastAsia="黑体" w:cs="Times New Roman"/>
      <w:color w:val="auto"/>
      <w:kern w:val="2"/>
      <w:sz w:val="30"/>
      <w:szCs w:val="20"/>
    </w:rPr>
  </w:style>
  <w:style w:type="paragraph" w:customStyle="1" w:styleId="338">
    <w:name w:val="标准书眉一"/>
    <w:qFormat/>
    <w:uiPriority w:val="0"/>
    <w:pPr>
      <w:jc w:val="both"/>
    </w:pPr>
    <w:rPr>
      <w:rFonts w:ascii="Times New Roman" w:hAnsi="Times New Roman" w:eastAsia="宋体" w:cs="Times New Roman"/>
      <w:lang w:val="en-US" w:eastAsia="zh-CN" w:bidi="ar-SA"/>
    </w:rPr>
  </w:style>
  <w:style w:type="paragraph" w:customStyle="1" w:styleId="339">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0">
    <w:name w:val="一级无标题条"/>
    <w:basedOn w:val="1"/>
    <w:qFormat/>
    <w:uiPriority w:val="0"/>
    <w:pPr>
      <w:numPr>
        <w:ilvl w:val="2"/>
        <w:numId w:val="12"/>
      </w:numPr>
    </w:pPr>
    <w:rPr>
      <w:rFonts w:cs="Times New Roman"/>
      <w:color w:val="auto"/>
      <w:kern w:val="2"/>
      <w:szCs w:val="20"/>
    </w:rPr>
  </w:style>
  <w:style w:type="paragraph" w:customStyle="1" w:styleId="34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图"/>
    <w:basedOn w:val="1"/>
    <w:qFormat/>
    <w:uiPriority w:val="0"/>
    <w:pPr>
      <w:keepNext/>
      <w:adjustRightInd w:val="0"/>
      <w:spacing w:before="60" w:after="60" w:line="300" w:lineRule="auto"/>
      <w:jc w:val="center"/>
      <w:textAlignment w:val="center"/>
    </w:pPr>
    <w:rPr>
      <w:rFonts w:cs="Times New Roman"/>
      <w:snapToGrid w:val="0"/>
      <w:color w:val="auto"/>
      <w:spacing w:val="20"/>
      <w:sz w:val="24"/>
      <w:szCs w:val="20"/>
    </w:rPr>
  </w:style>
  <w:style w:type="paragraph" w:customStyle="1" w:styleId="345">
    <w:name w:val="四级无标题条"/>
    <w:basedOn w:val="1"/>
    <w:qFormat/>
    <w:uiPriority w:val="0"/>
    <w:pPr>
      <w:numPr>
        <w:ilvl w:val="5"/>
        <w:numId w:val="12"/>
      </w:numPr>
    </w:pPr>
    <w:rPr>
      <w:rFonts w:cs="Times New Roman"/>
      <w:color w:val="auto"/>
      <w:kern w:val="2"/>
      <w:szCs w:val="20"/>
    </w:rPr>
  </w:style>
  <w:style w:type="paragraph" w:customStyle="1" w:styleId="346">
    <w:name w:val="附录表标题"/>
    <w:next w:val="244"/>
    <w:qFormat/>
    <w:uiPriority w:val="0"/>
    <w:pPr>
      <w:numPr>
        <w:ilvl w:val="3"/>
        <w:numId w:val="14"/>
      </w:numPr>
      <w:jc w:val="center"/>
      <w:textAlignment w:val="baseline"/>
    </w:pPr>
    <w:rPr>
      <w:rFonts w:ascii="黑体" w:hAnsi="Times New Roman" w:eastAsia="黑体" w:cs="Times New Roman"/>
      <w:kern w:val="21"/>
      <w:sz w:val="21"/>
      <w:lang w:val="en-US" w:eastAsia="zh-CN" w:bidi="ar-SA"/>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color w:val="auto"/>
      <w:sz w:val="16"/>
      <w:szCs w:val="20"/>
    </w:rPr>
  </w:style>
  <w:style w:type="paragraph" w:customStyle="1" w:styleId="348">
    <w:name w:val="a"/>
    <w:basedOn w:val="1"/>
    <w:qFormat/>
    <w:uiPriority w:val="0"/>
    <w:pPr>
      <w:adjustRightInd w:val="0"/>
      <w:spacing w:before="60" w:after="60" w:line="315" w:lineRule="atLeast"/>
      <w:jc w:val="left"/>
      <w:textAlignment w:val="baseline"/>
    </w:pPr>
    <w:rPr>
      <w:rFonts w:ascii="宋体" w:cs="Times New Roman"/>
      <w:color w:val="auto"/>
      <w:sz w:val="24"/>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351">
    <w:name w:val="注："/>
    <w:next w:val="244"/>
    <w:qFormat/>
    <w:uiPriority w:val="0"/>
    <w:pPr>
      <w:widowControl w:val="0"/>
      <w:tabs>
        <w:tab w:val="left" w:pos="360"/>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352">
    <w:name w:val="样式 标题 3 + 宋体 段前: 7.8 磅"/>
    <w:basedOn w:val="4"/>
    <w:qFormat/>
    <w:uiPriority w:val="0"/>
    <w:pPr>
      <w:keepNext w:val="0"/>
      <w:keepLines w:val="0"/>
      <w:tabs>
        <w:tab w:val="left" w:pos="1560"/>
        <w:tab w:val="left" w:pos="1740"/>
      </w:tabs>
      <w:adjustRightInd w:val="0"/>
      <w:snapToGrid w:val="0"/>
      <w:spacing w:before="156" w:after="0" w:line="360" w:lineRule="auto"/>
      <w:ind w:left="1740" w:hanging="420"/>
    </w:pPr>
    <w:rPr>
      <w:rFonts w:ascii="宋体" w:hAnsi="宋体" w:cs="Times New Roman"/>
      <w:b w:val="0"/>
      <w:color w:val="auto"/>
      <w:kern w:val="2"/>
      <w:sz w:val="21"/>
      <w:szCs w:val="20"/>
    </w:rPr>
  </w:style>
  <w:style w:type="paragraph" w:customStyle="1" w:styleId="353">
    <w:name w:val="注×："/>
    <w:qFormat/>
    <w:uiPriority w:val="0"/>
    <w:pPr>
      <w:widowControl w:val="0"/>
      <w:tabs>
        <w:tab w:val="left" w:pos="360"/>
        <w:tab w:val="left" w:pos="630"/>
        <w:tab w:val="left" w:pos="780"/>
      </w:tabs>
      <w:autoSpaceDE w:val="0"/>
      <w:autoSpaceDN w:val="0"/>
      <w:jc w:val="both"/>
    </w:pPr>
    <w:rPr>
      <w:rFonts w:ascii="宋体" w:hAnsi="Times New Roman" w:eastAsia="宋体" w:cs="Times New Roman"/>
      <w:sz w:val="18"/>
      <w:lang w:val="en-US" w:eastAsia="zh-CN" w:bidi="ar-SA"/>
    </w:rPr>
  </w:style>
  <w:style w:type="paragraph" w:customStyle="1" w:styleId="35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55">
    <w:name w:val="图形标题"/>
    <w:basedOn w:val="19"/>
    <w:qFormat/>
    <w:uiPriority w:val="0"/>
    <w:pPr>
      <w:spacing w:before="0" w:after="0"/>
      <w:jc w:val="center"/>
    </w:pPr>
    <w:rPr>
      <w:rFonts w:ascii="宋体" w:hAnsi="Plotter" w:eastAsia="宋体"/>
      <w:sz w:val="21"/>
    </w:rPr>
  </w:style>
  <w:style w:type="paragraph" w:customStyle="1" w:styleId="356">
    <w:name w:val="样式7"/>
    <w:basedOn w:val="1"/>
    <w:qFormat/>
    <w:uiPriority w:val="0"/>
    <w:pPr>
      <w:numPr>
        <w:ilvl w:val="0"/>
        <w:numId w:val="17"/>
      </w:numPr>
      <w:tabs>
        <w:tab w:val="left" w:pos="840"/>
      </w:tabs>
    </w:pPr>
    <w:rPr>
      <w:rFonts w:cs="Times New Roman"/>
      <w:color w:val="auto"/>
      <w:kern w:val="2"/>
      <w:szCs w:val="20"/>
    </w:rPr>
  </w:style>
  <w:style w:type="paragraph" w:customStyle="1" w:styleId="357">
    <w:name w:val="CM17"/>
    <w:basedOn w:val="119"/>
    <w:next w:val="119"/>
    <w:qFormat/>
    <w:uiPriority w:val="0"/>
    <w:pPr>
      <w:spacing w:line="468" w:lineRule="atLeast"/>
    </w:pPr>
    <w:rPr>
      <w:rFonts w:ascii="黑体" w:hAnsi="Times New Roman" w:eastAsia="黑体" w:cs="Times New Roman"/>
      <w:color w:val="auto"/>
      <w:szCs w:val="20"/>
    </w:rPr>
  </w:style>
  <w:style w:type="paragraph" w:customStyle="1" w:styleId="358">
    <w:name w:val="样式 Arial 首行缩进:  2 字符"/>
    <w:basedOn w:val="1"/>
    <w:qFormat/>
    <w:uiPriority w:val="0"/>
    <w:pPr>
      <w:ind w:firstLine="403" w:firstLineChars="200"/>
    </w:pPr>
    <w:rPr>
      <w:rFonts w:cs="Times New Roman"/>
      <w:color w:val="auto"/>
      <w:kern w:val="2"/>
      <w:szCs w:val="20"/>
    </w:rPr>
  </w:style>
  <w:style w:type="character" w:customStyle="1" w:styleId="359">
    <w:name w:val="脚注文本 字符"/>
    <w:basedOn w:val="82"/>
    <w:qFormat/>
    <w:uiPriority w:val="0"/>
    <w:rPr>
      <w:rFonts w:cs="Calibri"/>
      <w:color w:val="000000"/>
      <w:sz w:val="18"/>
      <w:szCs w:val="18"/>
    </w:rPr>
  </w:style>
  <w:style w:type="paragraph" w:customStyle="1" w:styleId="360">
    <w:name w:val="实施日期"/>
    <w:basedOn w:val="1"/>
    <w:qFormat/>
    <w:uiPriority w:val="0"/>
    <w:pPr>
      <w:widowControl/>
      <w:jc w:val="right"/>
    </w:pPr>
    <w:rPr>
      <w:rFonts w:eastAsia="黑体" w:cs="Times New Roman"/>
      <w:color w:val="auto"/>
      <w:sz w:val="28"/>
      <w:szCs w:val="20"/>
    </w:rPr>
  </w:style>
  <w:style w:type="paragraph" w:customStyle="1" w:styleId="361">
    <w:name w:val="示例"/>
    <w:next w:val="244"/>
    <w:qFormat/>
    <w:uiPriority w:val="0"/>
    <w:pPr>
      <w:tabs>
        <w:tab w:val="left" w:pos="360"/>
      </w:tabs>
      <w:ind w:left="360"/>
      <w:jc w:val="both"/>
    </w:pPr>
    <w:rPr>
      <w:rFonts w:ascii="宋体" w:hAnsi="Times New Roman" w:eastAsia="宋体" w:cs="Times New Roman"/>
      <w:sz w:val="18"/>
      <w:lang w:val="en-US" w:eastAsia="zh-CN" w:bidi="ar-SA"/>
    </w:rPr>
  </w:style>
  <w:style w:type="paragraph" w:customStyle="1" w:styleId="362">
    <w:name w:val="标题3"/>
    <w:basedOn w:val="1"/>
    <w:qFormat/>
    <w:uiPriority w:val="0"/>
    <w:rPr>
      <w:rFonts w:ascii="仿宋_GB2312" w:eastAsia="仿宋_GB2312" w:cs="Times New Roman"/>
      <w:color w:val="auto"/>
      <w:kern w:val="2"/>
      <w:sz w:val="28"/>
      <w:szCs w:val="20"/>
    </w:rPr>
  </w:style>
  <w:style w:type="paragraph" w:customStyle="1" w:styleId="363">
    <w:name w:val="Char Char Char Char Char Char Char"/>
    <w:basedOn w:val="1"/>
    <w:qFormat/>
    <w:uiPriority w:val="0"/>
    <w:rPr>
      <w:rFonts w:cs="Times New Roman"/>
      <w:color w:val="auto"/>
      <w:kern w:val="2"/>
      <w:szCs w:val="20"/>
    </w:rPr>
  </w:style>
  <w:style w:type="paragraph" w:customStyle="1" w:styleId="364">
    <w:name w:val="无标题条"/>
    <w:next w:val="244"/>
    <w:qFormat/>
    <w:uiPriority w:val="0"/>
    <w:pPr>
      <w:jc w:val="both"/>
    </w:pPr>
    <w:rPr>
      <w:rFonts w:ascii="Times New Roman" w:hAnsi="Times New Roman" w:eastAsia="宋体" w:cs="Times New Roman"/>
      <w:sz w:val="21"/>
      <w:lang w:val="en-US" w:eastAsia="zh-CN" w:bidi="ar-SA"/>
    </w:rPr>
  </w:style>
  <w:style w:type="paragraph" w:customStyle="1" w:styleId="365">
    <w:name w:val="发布部门"/>
    <w:next w:val="244"/>
    <w:qFormat/>
    <w:uiPriority w:val="0"/>
    <w:pPr>
      <w:jc w:val="center"/>
    </w:pPr>
    <w:rPr>
      <w:rFonts w:ascii="宋体" w:hAnsi="Times New Roman" w:eastAsia="宋体" w:cs="Times New Roman"/>
      <w:b/>
      <w:spacing w:val="20"/>
      <w:w w:val="135"/>
      <w:sz w:val="36"/>
      <w:lang w:val="en-US" w:eastAsia="zh-CN" w:bidi="ar-SA"/>
    </w:rPr>
  </w:style>
  <w:style w:type="paragraph" w:customStyle="1" w:styleId="366">
    <w:name w:val="Char Char Char Char Char Char Char Char Char Char Char Char"/>
    <w:basedOn w:val="1"/>
    <w:qFormat/>
    <w:uiPriority w:val="0"/>
    <w:pPr>
      <w:spacing w:line="360" w:lineRule="auto"/>
    </w:pPr>
    <w:rPr>
      <w:rFonts w:ascii="Tahoma" w:hAnsi="Tahoma" w:cs="Times New Roman"/>
      <w:color w:val="auto"/>
      <w:kern w:val="2"/>
      <w:sz w:val="24"/>
      <w:szCs w:val="20"/>
    </w:rPr>
  </w:style>
  <w:style w:type="paragraph" w:customStyle="1" w:styleId="367">
    <w:name w:val="五级无标题条"/>
    <w:basedOn w:val="1"/>
    <w:qFormat/>
    <w:uiPriority w:val="0"/>
    <w:pPr>
      <w:numPr>
        <w:ilvl w:val="6"/>
        <w:numId w:val="12"/>
      </w:numPr>
    </w:pPr>
    <w:rPr>
      <w:rFonts w:cs="Times New Roman"/>
      <w:color w:val="auto"/>
      <w:kern w:val="2"/>
      <w:szCs w:val="20"/>
    </w:rPr>
  </w:style>
  <w:style w:type="paragraph" w:customStyle="1" w:styleId="368">
    <w:name w:val="列项——"/>
    <w:qFormat/>
    <w:uiPriority w:val="0"/>
    <w:pPr>
      <w:widowControl w:val="0"/>
      <w:tabs>
        <w:tab w:val="left" w:pos="360"/>
        <w:tab w:val="left" w:pos="425"/>
      </w:tabs>
      <w:ind w:left="425" w:hanging="425"/>
      <w:jc w:val="both"/>
    </w:pPr>
    <w:rPr>
      <w:rFonts w:ascii="宋体" w:hAnsi="Times New Roman" w:eastAsia="宋体" w:cs="Times New Roman"/>
      <w:sz w:val="21"/>
      <w:lang w:val="en-US" w:eastAsia="zh-CN" w:bidi="ar-SA"/>
    </w:rPr>
  </w:style>
  <w:style w:type="paragraph" w:customStyle="1" w:styleId="36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70">
    <w:name w:val="样式 标题 1 + 首行缩进:  2 字符 段前: 1 行 段后: 1 行"/>
    <w:basedOn w:val="2"/>
    <w:qFormat/>
    <w:uiPriority w:val="0"/>
    <w:pPr>
      <w:tabs>
        <w:tab w:val="left" w:pos="425"/>
      </w:tabs>
      <w:spacing w:beforeLines="100" w:afterLines="100" w:line="360" w:lineRule="auto"/>
      <w:jc w:val="both"/>
    </w:pPr>
    <w:rPr>
      <w:rFonts w:ascii="Times New Roman" w:hAnsi="Times New Roman"/>
      <w:color w:val="auto"/>
      <w:kern w:val="44"/>
      <w:sz w:val="28"/>
      <w:szCs w:val="20"/>
    </w:rPr>
  </w:style>
  <w:style w:type="paragraph" w:customStyle="1" w:styleId="371">
    <w:name w:val="默认段落字体 Para Char"/>
    <w:basedOn w:val="1"/>
    <w:qFormat/>
    <w:uiPriority w:val="0"/>
    <w:pPr>
      <w:spacing w:line="360" w:lineRule="auto"/>
    </w:pPr>
    <w:rPr>
      <w:rFonts w:ascii="Tahoma" w:hAnsi="Tahoma" w:cs="Times New Roman"/>
      <w:color w:val="auto"/>
      <w:kern w:val="2"/>
      <w:sz w:val="24"/>
      <w:szCs w:val="20"/>
    </w:rPr>
  </w:style>
  <w:style w:type="paragraph" w:customStyle="1" w:styleId="372">
    <w:name w:val="样式 标题 2标题 2 Char + 宋体"/>
    <w:basedOn w:val="3"/>
    <w:qFormat/>
    <w:uiPriority w:val="0"/>
    <w:pPr>
      <w:keepNext w:val="0"/>
      <w:tabs>
        <w:tab w:val="left" w:pos="1320"/>
      </w:tabs>
      <w:adjustRightInd w:val="0"/>
      <w:snapToGrid w:val="0"/>
      <w:spacing w:before="0" w:after="0" w:line="360" w:lineRule="auto"/>
      <w:ind w:left="1320" w:hanging="420"/>
      <w:jc w:val="both"/>
    </w:pPr>
    <w:rPr>
      <w:rFonts w:ascii="宋体" w:hAnsi="Times New Roman"/>
      <w:color w:val="auto"/>
      <w:kern w:val="2"/>
      <w:sz w:val="21"/>
      <w:szCs w:val="20"/>
    </w:rPr>
  </w:style>
  <w:style w:type="paragraph" w:customStyle="1" w:styleId="3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75">
    <w:name w:val="字母编号列项（一级）"/>
    <w:qFormat/>
    <w:uiPriority w:val="0"/>
    <w:pPr>
      <w:tabs>
        <w:tab w:val="left" w:pos="1200"/>
      </w:tabs>
      <w:ind w:left="840" w:leftChars="200" w:hanging="420" w:hangingChars="200"/>
      <w:jc w:val="both"/>
    </w:pPr>
    <w:rPr>
      <w:rFonts w:ascii="宋体" w:hAnsi="Times New Roman" w:eastAsia="宋体" w:cs="Times New Roman"/>
      <w:sz w:val="21"/>
      <w:lang w:val="en-US" w:eastAsia="zh-CN" w:bidi="ar-SA"/>
    </w:rPr>
  </w:style>
  <w:style w:type="paragraph" w:customStyle="1" w:styleId="376">
    <w:name w:val="其他发布部门"/>
    <w:basedOn w:val="1"/>
    <w:qFormat/>
    <w:uiPriority w:val="0"/>
    <w:pPr>
      <w:widowControl/>
      <w:spacing w:line="0" w:lineRule="atLeast"/>
      <w:jc w:val="center"/>
    </w:pPr>
    <w:rPr>
      <w:rFonts w:ascii="黑体" w:eastAsia="黑体" w:cs="Times New Roman"/>
      <w:color w:val="auto"/>
      <w:spacing w:val="20"/>
      <w:w w:val="135"/>
      <w:sz w:val="36"/>
      <w:szCs w:val="20"/>
    </w:rPr>
  </w:style>
  <w:style w:type="paragraph" w:customStyle="1" w:styleId="377">
    <w:name w:val="TOC 标题2"/>
    <w:basedOn w:val="2"/>
    <w:next w:val="1"/>
    <w:unhideWhenUsed/>
    <w:qFormat/>
    <w:uiPriority w:val="39"/>
    <w:pPr>
      <w:widowControl/>
      <w:spacing w:before="480" w:after="0" w:line="276" w:lineRule="auto"/>
      <w:jc w:val="left"/>
      <w:outlineLvl w:val="9"/>
    </w:pPr>
    <w:rPr>
      <w:rFonts w:ascii="Cambria" w:hAnsi="Cambria"/>
      <w:bCs/>
      <w:color w:val="365F91"/>
      <w:sz w:val="28"/>
      <w:szCs w:val="28"/>
    </w:rPr>
  </w:style>
  <w:style w:type="character" w:customStyle="1" w:styleId="378">
    <w:name w:val="正文首行缩进 2 Char"/>
    <w:basedOn w:val="121"/>
    <w:link w:val="79"/>
    <w:qFormat/>
    <w:uiPriority w:val="0"/>
    <w:rPr>
      <w:rFonts w:cs="Calibri"/>
      <w:color w:val="000000"/>
      <w:sz w:val="21"/>
      <w:szCs w:val="22"/>
    </w:rPr>
  </w:style>
  <w:style w:type="character" w:customStyle="1" w:styleId="379">
    <w:name w:val="正文首行缩进 Char"/>
    <w:basedOn w:val="124"/>
    <w:link w:val="78"/>
    <w:qFormat/>
    <w:uiPriority w:val="0"/>
    <w:rPr>
      <w:rFonts w:cs="Calibri"/>
      <w:color w:val="000000"/>
      <w:kern w:val="1"/>
      <w:sz w:val="21"/>
      <w:szCs w:val="22"/>
    </w:rPr>
  </w:style>
  <w:style w:type="character" w:customStyle="1" w:styleId="380">
    <w:name w:val="Unresolved Mention"/>
    <w:basedOn w:val="82"/>
    <w:semiHidden/>
    <w:unhideWhenUsed/>
    <w:qFormat/>
    <w:uiPriority w:val="99"/>
    <w:rPr>
      <w:color w:val="605E5C"/>
      <w:shd w:val="clear" w:color="auto" w:fill="E1DFDD"/>
    </w:rPr>
  </w:style>
  <w:style w:type="paragraph" w:customStyle="1" w:styleId="381">
    <w:name w:val="null3"/>
    <w:hidden/>
    <w:qFormat/>
    <w:uiPriority w:val="0"/>
    <w:rPr>
      <w:rFonts w:hint="eastAsia" w:asciiTheme="minorHAnsi" w:hAnsiTheme="minorHAnsi" w:eastAsiaTheme="minorEastAsia" w:cstheme="minorBidi"/>
      <w:lang w:val="en-US" w:eastAsia="zh-Hans"/>
    </w:rPr>
  </w:style>
  <w:style w:type="paragraph" w:customStyle="1" w:styleId="38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6EDDD-B32B-48A6-A01D-D0EE6B990107}">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57</Pages>
  <Words>6232</Words>
  <Characters>6653</Characters>
  <Lines>248</Lines>
  <Paragraphs>69</Paragraphs>
  <TotalTime>0</TotalTime>
  <ScaleCrop>false</ScaleCrop>
  <LinksUpToDate>false</LinksUpToDate>
  <CharactersWithSpaces>6737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2025-03-11T03:24:00Z</dcterms:created>
  <dc:creator>Windows 用户</dc:creator>
  <cp:lastModifiedBy>李东海</cp:lastModifiedBy>
  <cp:lastPrinted>2025-06-18T01:27:14Z</cp:lastPrinted>
  <dcterms:modified xsi:type="dcterms:W3CDTF">2025-06-18T01:27:29Z</dcterms:modified>
  <dc:title>采购项目编号：具体详见采购公告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FD7B3662CD904896A6ED1E01FA8A5F38_13</vt:lpwstr>
  </property>
  <property fmtid="{D5CDD505-2E9C-101B-9397-08002B2CF9AE}" pid="4" name="KSOTemplateDocerSaveRecord">
    <vt:lpwstr>eyJoZGlkIjoiZTM2YmE0NGRiZTQ5MTA0ODU2MzBiYWVhY2QzN2I1MmIiLCJ1c2VySWQiOiIyNTM0NjM3NDMifQ==</vt:lpwstr>
  </property>
</Properties>
</file>